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0"/>
        <w:gridCol w:w="1246"/>
        <w:gridCol w:w="972"/>
        <w:gridCol w:w="2726"/>
        <w:gridCol w:w="2256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傅荣校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noProof/>
              </w:rPr>
              <w:drawing>
                <wp:inline distT="0" distB="0" distL="0" distR="0">
                  <wp:extent cx="1290955" cy="1724872"/>
                  <wp:effectExtent l="0" t="0" r="4445" b="889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427" cy="1732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信息资源管理研究所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rwxg@zju.edu.cn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  <w:bookmarkStart w:id="0" w:name="_GoBack"/>
        <w:bookmarkEnd w:id="0"/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电子政务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：有关信息化环境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互联网空间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数字世界中政府职能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业务或者放管理服的改革，电子政务理论、中外电子政务建设与发展比较研究，电子政务管理体制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机制与政府体制机制的关系研究，（新型）智慧城市建设，金字工程建设，政府网站建设与评估，政务信息资源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政务数据共享、政府信息公开与政务公开，政务云、政务外网建设等内容选题指导。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政府数字化转型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：有关数字政府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智慧政务，互联网</w:t>
            </w:r>
            <w:r>
              <w:rPr>
                <w:rFonts w:ascii="Garamond" w:eastAsia="宋体" w:hAnsi="Garamond" w:hint="eastAsia"/>
              </w:rPr>
              <w:t>+</w:t>
            </w:r>
            <w:r>
              <w:rPr>
                <w:rFonts w:ascii="Garamond" w:eastAsia="宋体" w:hAnsi="Garamond" w:hint="eastAsia"/>
              </w:rPr>
              <w:t>政务、政务服务网、政府开放数据、数字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数据治理、政府数字化转型方案比较研究，中外大数据战略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政策比较研究，一体化政府、透明政府建设，政务新媒体，公众参与与电子参与等内容选题指导。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电子文件与档案管理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：中外档案学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档案工作发展比较研究、电子文件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档案管理体制，电子文件归档、四性保障，档案信息资源建设、信息资源开发利用，信息组织，信息元数据，信息检索与档案信息检索，档案信息化（数字档案馆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数字档案室）建设，后保管时代的档案工作适应性等内容选题指导。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努力认真、交流沟通主动，具有一定的信息化技能或知识。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557</Characters>
  <Application>Microsoft Office Word</Application>
  <DocSecurity>0</DocSecurity>
  <Lines>4</Lines>
  <Paragraphs>1</Paragraphs>
  <ScaleCrop>false</ScaleCrop>
  <Company>ZJU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</cp:revision>
  <dcterms:created xsi:type="dcterms:W3CDTF">2019-11-04T13:54:00Z</dcterms:created>
  <dcterms:modified xsi:type="dcterms:W3CDTF">2023-04-10T06:51:00Z</dcterms:modified>
</cp:coreProperties>
</file>