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0" w:type="auto"/>
        <w:tblLook w:val="04A0" w:firstRow="1" w:lastRow="0" w:firstColumn="1" w:lastColumn="0" w:noHBand="0" w:noVBand="1"/>
      </w:tblPr>
      <w:tblGrid>
        <w:gridCol w:w="1129"/>
        <w:gridCol w:w="1276"/>
        <w:gridCol w:w="992"/>
        <w:gridCol w:w="2820"/>
        <w:gridCol w:w="2073"/>
      </w:tblGrid>
      <w:tr>
        <w:tc>
          <w:tcPr>
            <w:tcW w:w="8290" w:type="dxa"/>
            <w:gridSpan w:val="5"/>
            <w:tcBorders>
              <w:top w:val="nil"/>
              <w:left w:val="nil"/>
              <w:bottom w:val="single" w:sz="8" w:space="0" w:color="1F3864" w:themeColor="accent1" w:themeShade="80"/>
              <w:right w:val="nil"/>
            </w:tcBorders>
          </w:tcPr>
          <w:p>
            <w:pPr>
              <w:spacing w:line="480" w:lineRule="auto"/>
              <w:jc w:val="center"/>
              <w:rPr>
                <w:rFonts w:ascii="Garamond" w:eastAsia="宋体" w:hAnsi="Garamond"/>
                <w:b/>
                <w:bCs/>
                <w:sz w:val="24"/>
                <w:szCs w:val="32"/>
              </w:rPr>
            </w:pPr>
            <w:r>
              <w:rPr>
                <w:rFonts w:ascii="Garamond" w:eastAsia="宋体" w:hAnsi="Garamond"/>
                <w:b/>
                <w:bCs/>
                <w:sz w:val="24"/>
                <w:szCs w:val="32"/>
              </w:rPr>
              <w:t>浙江大学</w:t>
            </w:r>
            <w:r>
              <w:rPr>
                <w:rFonts w:ascii="Garamond" w:eastAsia="宋体" w:hAnsi="Garamond"/>
                <w:b/>
                <w:bCs/>
                <w:sz w:val="24"/>
                <w:szCs w:val="32"/>
              </w:rPr>
              <w:t>MPA</w:t>
            </w:r>
            <w:r>
              <w:rPr>
                <w:rFonts w:ascii="Garamond" w:eastAsia="宋体" w:hAnsi="Garamond"/>
                <w:b/>
                <w:bCs/>
                <w:sz w:val="24"/>
                <w:szCs w:val="32"/>
              </w:rPr>
              <w:t>专业导师信息表</w:t>
            </w:r>
          </w:p>
        </w:tc>
      </w:tr>
      <w:tr>
        <w:tc>
          <w:tcPr>
            <w:tcW w:w="1129" w:type="dxa"/>
            <w:tcBorders>
              <w:top w:val="single" w:sz="8" w:space="0" w:color="1F3864" w:themeColor="accent1" w:themeShade="80"/>
            </w:tcBorders>
          </w:tcPr>
          <w:p>
            <w:pPr>
              <w:spacing w:line="276" w:lineRule="auto"/>
              <w:jc w:val="distribute"/>
              <w:rPr>
                <w:rFonts w:ascii="Garamond" w:eastAsia="宋体" w:hAnsi="Garamond"/>
              </w:rPr>
            </w:pPr>
            <w:r>
              <w:rPr>
                <w:rFonts w:ascii="Garamond" w:eastAsia="宋体" w:hAnsi="Garamond"/>
              </w:rPr>
              <w:t>姓名</w:t>
            </w:r>
          </w:p>
        </w:tc>
        <w:tc>
          <w:tcPr>
            <w:tcW w:w="1276" w:type="dxa"/>
            <w:tcBorders>
              <w:top w:val="single" w:sz="8" w:space="0" w:color="1F3864" w:themeColor="accent1" w:themeShade="80"/>
            </w:tcBorders>
          </w:tcPr>
          <w:p>
            <w:pPr>
              <w:spacing w:line="276" w:lineRule="auto"/>
              <w:rPr>
                <w:rFonts w:ascii="Garamond" w:eastAsia="宋体" w:hAnsi="Garamond"/>
              </w:rPr>
            </w:pPr>
            <w:r>
              <w:rPr>
                <w:rFonts w:ascii="Garamond" w:eastAsia="宋体" w:hAnsi="Garamond" w:hint="eastAsia"/>
              </w:rPr>
              <w:t>靳相木</w:t>
            </w:r>
          </w:p>
        </w:tc>
        <w:tc>
          <w:tcPr>
            <w:tcW w:w="992" w:type="dxa"/>
            <w:tcBorders>
              <w:top w:val="single" w:sz="8" w:space="0" w:color="1F3864" w:themeColor="accent1" w:themeShade="80"/>
            </w:tcBorders>
          </w:tcPr>
          <w:p>
            <w:pPr>
              <w:spacing w:line="276" w:lineRule="auto"/>
              <w:rPr>
                <w:rFonts w:ascii="Garamond" w:eastAsia="宋体" w:hAnsi="Garamond"/>
              </w:rPr>
            </w:pPr>
            <w:r>
              <w:rPr>
                <w:rFonts w:ascii="Garamond" w:eastAsia="宋体" w:hAnsi="Garamond"/>
              </w:rPr>
              <w:t>职称</w:t>
            </w:r>
          </w:p>
        </w:tc>
        <w:tc>
          <w:tcPr>
            <w:tcW w:w="2820" w:type="dxa"/>
            <w:tcBorders>
              <w:top w:val="single" w:sz="8" w:space="0" w:color="1F3864" w:themeColor="accent1" w:themeShade="80"/>
            </w:tcBorders>
          </w:tcPr>
          <w:p>
            <w:pPr>
              <w:spacing w:line="276" w:lineRule="auto"/>
              <w:rPr>
                <w:rFonts w:ascii="Garamond" w:eastAsia="宋体" w:hAnsi="Garamond"/>
              </w:rPr>
            </w:pPr>
            <w:r>
              <w:rPr>
                <w:rFonts w:ascii="Garamond" w:eastAsia="宋体" w:hAnsi="Garamond" w:hint="eastAsia"/>
              </w:rPr>
              <w:t>教授</w:t>
            </w:r>
            <w:r>
              <w:rPr>
                <w:rFonts w:ascii="Garamond" w:eastAsia="宋体" w:hAnsi="Garamond" w:hint="eastAsia"/>
              </w:rPr>
              <w:t xml:space="preserve"> </w:t>
            </w:r>
          </w:p>
        </w:tc>
        <w:tc>
          <w:tcPr>
            <w:tcW w:w="2073" w:type="dxa"/>
            <w:vMerge w:val="restart"/>
            <w:tcBorders>
              <w:top w:val="single" w:sz="8" w:space="0" w:color="1F3864" w:themeColor="accent1" w:themeShade="80"/>
            </w:tcBorders>
          </w:tcPr>
          <w:p>
            <w:pPr>
              <w:spacing w:line="276" w:lineRule="auto"/>
              <w:rPr>
                <w:rFonts w:ascii="Garamond" w:eastAsia="宋体" w:hAnsi="Garamond"/>
              </w:rPr>
            </w:pPr>
          </w:p>
          <w:p>
            <w:pPr>
              <w:spacing w:line="276" w:lineRule="auto"/>
              <w:ind w:firstLineChars="100" w:firstLine="210"/>
              <w:rPr>
                <w:rFonts w:ascii="Garamond" w:eastAsia="宋体" w:hAnsi="Garamond"/>
              </w:rPr>
            </w:pPr>
            <w:r>
              <w:rPr>
                <w:rFonts w:ascii="Garamond" w:eastAsia="宋体" w:hAnsi="Garamond"/>
              </w:rPr>
              <w:t>照片（如有）</w:t>
            </w:r>
          </w:p>
        </w:tc>
      </w:tr>
      <w:tr>
        <w:tc>
          <w:tcPr>
            <w:tcW w:w="1129" w:type="dxa"/>
          </w:tcPr>
          <w:p>
            <w:pPr>
              <w:spacing w:line="276" w:lineRule="auto"/>
              <w:jc w:val="distribute"/>
              <w:rPr>
                <w:rFonts w:ascii="Garamond" w:eastAsia="宋体" w:hAnsi="Garamond"/>
              </w:rPr>
            </w:pPr>
            <w:r>
              <w:rPr>
                <w:rFonts w:ascii="Garamond" w:eastAsia="宋体" w:hAnsi="Garamond"/>
              </w:rPr>
              <w:t>性别</w:t>
            </w:r>
          </w:p>
        </w:tc>
        <w:tc>
          <w:tcPr>
            <w:tcW w:w="1276" w:type="dxa"/>
          </w:tcPr>
          <w:p>
            <w:pPr>
              <w:spacing w:line="276" w:lineRule="auto"/>
              <w:rPr>
                <w:rFonts w:ascii="Garamond" w:eastAsia="宋体" w:hAnsi="Garamond"/>
              </w:rPr>
            </w:pPr>
            <w:r>
              <w:rPr>
                <w:rFonts w:ascii="Garamond" w:eastAsia="宋体" w:hAnsi="Garamond" w:hint="eastAsia"/>
              </w:rPr>
              <w:t>男</w:t>
            </w:r>
            <w:r>
              <w:rPr>
                <w:rFonts w:ascii="Garamond" w:eastAsia="宋体" w:hAnsi="Garamond" w:hint="eastAsia"/>
              </w:rPr>
              <w:t xml:space="preserve"> </w:t>
            </w:r>
          </w:p>
        </w:tc>
        <w:tc>
          <w:tcPr>
            <w:tcW w:w="992" w:type="dxa"/>
          </w:tcPr>
          <w:p>
            <w:pPr>
              <w:spacing w:line="276" w:lineRule="auto"/>
              <w:rPr>
                <w:rFonts w:ascii="Garamond" w:eastAsia="宋体" w:hAnsi="Garamond"/>
              </w:rPr>
            </w:pPr>
            <w:r>
              <w:rPr>
                <w:rFonts w:ascii="Garamond" w:eastAsia="宋体" w:hAnsi="Garamond"/>
              </w:rPr>
              <w:t>研究所</w:t>
            </w:r>
          </w:p>
        </w:tc>
        <w:tc>
          <w:tcPr>
            <w:tcW w:w="2820" w:type="dxa"/>
          </w:tcPr>
          <w:p>
            <w:pPr>
              <w:spacing w:line="276" w:lineRule="auto"/>
              <w:rPr>
                <w:rFonts w:ascii="Garamond" w:eastAsia="宋体" w:hAnsi="Garamond"/>
              </w:rPr>
            </w:pPr>
            <w:r>
              <w:rPr>
                <w:rFonts w:ascii="Garamond" w:eastAsia="宋体" w:hAnsi="Garamond" w:hint="eastAsia"/>
              </w:rPr>
              <w:t>土地科学与不动产研究所</w:t>
            </w:r>
          </w:p>
        </w:tc>
        <w:tc>
          <w:tcPr>
            <w:tcW w:w="2073" w:type="dxa"/>
            <w:vMerge/>
          </w:tcPr>
          <w:p>
            <w:pPr>
              <w:spacing w:line="276" w:lineRule="auto"/>
              <w:rPr>
                <w:rFonts w:ascii="Garamond" w:eastAsia="宋体" w:hAnsi="Garamond"/>
              </w:rPr>
            </w:pPr>
          </w:p>
        </w:tc>
      </w:tr>
      <w:tr>
        <w:tc>
          <w:tcPr>
            <w:tcW w:w="1129" w:type="dxa"/>
          </w:tcPr>
          <w:p>
            <w:pPr>
              <w:spacing w:line="276" w:lineRule="auto"/>
              <w:jc w:val="distribute"/>
              <w:rPr>
                <w:rFonts w:ascii="Garamond" w:eastAsia="宋体" w:hAnsi="Garamond"/>
              </w:rPr>
            </w:pPr>
            <w:r>
              <w:rPr>
                <w:rFonts w:ascii="Garamond" w:eastAsia="宋体" w:hAnsi="Garamond"/>
              </w:rPr>
              <w:t>电子邮箱</w:t>
            </w:r>
          </w:p>
        </w:tc>
        <w:tc>
          <w:tcPr>
            <w:tcW w:w="5088" w:type="dxa"/>
            <w:gridSpan w:val="3"/>
          </w:tcPr>
          <w:p>
            <w:pPr>
              <w:spacing w:line="276" w:lineRule="auto"/>
              <w:rPr>
                <w:rFonts w:ascii="Garamond" w:eastAsia="宋体" w:hAnsi="Garamond"/>
              </w:rPr>
            </w:pPr>
            <w:r>
              <w:rPr>
                <w:rFonts w:ascii="Garamond" w:eastAsia="宋体" w:hAnsi="Garamond" w:hint="eastAsia"/>
              </w:rPr>
              <w:t>jinxiangmu@zju.edu.cn</w:t>
            </w:r>
          </w:p>
        </w:tc>
        <w:tc>
          <w:tcPr>
            <w:tcW w:w="2073" w:type="dxa"/>
            <w:vMerge/>
          </w:tcPr>
          <w:p>
            <w:pPr>
              <w:spacing w:line="276" w:lineRule="auto"/>
              <w:rPr>
                <w:rFonts w:ascii="Garamond" w:eastAsia="宋体" w:hAnsi="Garamond"/>
              </w:rPr>
            </w:pPr>
          </w:p>
        </w:tc>
      </w:tr>
      <w:tr>
        <w:tc>
          <w:tcPr>
            <w:tcW w:w="6217" w:type="dxa"/>
            <w:gridSpan w:val="4"/>
          </w:tcPr>
          <w:p>
            <w:pPr>
              <w:spacing w:line="276" w:lineRule="auto"/>
              <w:rPr>
                <w:rFonts w:ascii="Garamond" w:eastAsia="宋体" w:hAnsi="Garamond"/>
              </w:rPr>
            </w:pPr>
            <w:r>
              <w:rPr>
                <w:rFonts w:ascii="Garamond" w:eastAsia="宋体" w:hAnsi="Garamond"/>
              </w:rPr>
              <w:t>个人主页：</w:t>
            </w:r>
            <w:r>
              <w:rPr>
                <w:rFonts w:ascii="Garamond" w:eastAsia="宋体" w:hAnsi="Garamond"/>
              </w:rPr>
              <w:t>person.zju.edu.cn/</w:t>
            </w:r>
          </w:p>
        </w:tc>
        <w:tc>
          <w:tcPr>
            <w:tcW w:w="2073" w:type="dxa"/>
            <w:vMerge/>
          </w:tcPr>
          <w:p>
            <w:pPr>
              <w:spacing w:line="276" w:lineRule="auto"/>
              <w:rPr>
                <w:rFonts w:ascii="Garamond" w:eastAsia="宋体" w:hAnsi="Garamond"/>
              </w:rPr>
            </w:pPr>
          </w:p>
        </w:tc>
      </w:tr>
      <w:tr>
        <w:tc>
          <w:tcPr>
            <w:tcW w:w="8290" w:type="dxa"/>
            <w:gridSpan w:val="5"/>
          </w:tcPr>
          <w:p>
            <w:pPr>
              <w:spacing w:line="360" w:lineRule="auto"/>
              <w:jc w:val="center"/>
              <w:rPr>
                <w:rFonts w:ascii="Garamond" w:eastAsia="宋体" w:hAnsi="Garamond"/>
                <w:b/>
                <w:bCs/>
              </w:rPr>
            </w:pPr>
            <w:r>
              <w:rPr>
                <w:rFonts w:ascii="Garamond" w:eastAsia="宋体" w:hAnsi="Garamond"/>
                <w:b/>
                <w:bCs/>
              </w:rPr>
              <w:t>拟带</w:t>
            </w:r>
            <w:r>
              <w:rPr>
                <w:rFonts w:ascii="Garamond" w:eastAsia="宋体" w:hAnsi="Garamond"/>
                <w:b/>
                <w:bCs/>
              </w:rPr>
              <w:t>MPA</w:t>
            </w:r>
            <w:r>
              <w:rPr>
                <w:rFonts w:ascii="Garamond" w:eastAsia="宋体" w:hAnsi="Garamond"/>
                <w:b/>
                <w:bCs/>
              </w:rPr>
              <w:t>学生的论文选题方向</w:t>
            </w:r>
          </w:p>
        </w:tc>
      </w:tr>
      <w:tr>
        <w:trPr>
          <w:trHeight w:val="948"/>
        </w:trPr>
        <w:tc>
          <w:tcPr>
            <w:tcW w:w="8290" w:type="dxa"/>
            <w:gridSpan w:val="5"/>
            <w:shd w:val="clear" w:color="auto" w:fill="D0CECE" w:themeFill="background2" w:themeFillShade="E6"/>
          </w:tcPr>
          <w:p>
            <w:pPr>
              <w:spacing w:beforeLines="50" w:before="156" w:line="276" w:lineRule="auto"/>
              <w:ind w:firstLineChars="200" w:firstLine="422"/>
              <w:rPr>
                <w:rFonts w:ascii="Garamond" w:eastAsia="宋体" w:hAnsi="Garamond"/>
                <w:b/>
                <w:bCs/>
              </w:rPr>
            </w:pPr>
            <w:r>
              <w:rPr>
                <w:rFonts w:ascii="Garamond" w:eastAsia="宋体" w:hAnsi="Garamond"/>
                <w:b/>
                <w:bCs/>
              </w:rPr>
              <w:t>选题</w:t>
            </w:r>
            <w:r>
              <w:rPr>
                <w:rFonts w:ascii="Garamond" w:eastAsia="宋体" w:hAnsi="Garamond"/>
                <w:b/>
                <w:bCs/>
              </w:rPr>
              <w:t>1</w:t>
            </w:r>
            <w:r>
              <w:rPr>
                <w:rFonts w:ascii="Garamond" w:eastAsia="宋体" w:hAnsi="Garamond"/>
                <w:b/>
                <w:bCs/>
              </w:rPr>
              <w:t>：</w:t>
            </w:r>
            <w:r>
              <w:rPr>
                <w:rFonts w:ascii="Garamond" w:eastAsia="宋体" w:hAnsi="Garamond" w:hint="eastAsia"/>
                <w:b/>
                <w:bCs/>
              </w:rPr>
              <w:t>土地征收矛盾及其调处</w:t>
            </w:r>
          </w:p>
        </w:tc>
      </w:tr>
      <w:tr>
        <w:trPr>
          <w:trHeight w:val="848"/>
        </w:trPr>
        <w:tc>
          <w:tcPr>
            <w:tcW w:w="8290" w:type="dxa"/>
            <w:gridSpan w:val="5"/>
          </w:tcPr>
          <w:p>
            <w:pPr>
              <w:spacing w:beforeLines="50" w:before="156"/>
              <w:ind w:firstLineChars="200" w:firstLine="422"/>
              <w:rPr>
                <w:rFonts w:ascii="Garamond" w:eastAsia="宋体" w:hAnsi="Garamond"/>
              </w:rPr>
            </w:pPr>
            <w:r>
              <w:rPr>
                <w:rFonts w:ascii="Garamond" w:eastAsia="宋体" w:hAnsi="Garamond"/>
                <w:b/>
              </w:rPr>
              <w:t>简介</w:t>
            </w:r>
            <w:r>
              <w:rPr>
                <w:rFonts w:ascii="Garamond" w:eastAsia="宋体" w:hAnsi="Garamond" w:hint="eastAsia"/>
              </w:rPr>
              <w:t>：土地征收补偿安置的冲突及纠纷，是当今影响农民权益及社会稳定的焦点问题之一。基于案例，聚焦某一方面开展分析。</w:t>
            </w:r>
          </w:p>
        </w:tc>
      </w:tr>
      <w:tr>
        <w:trPr>
          <w:trHeight w:val="832"/>
        </w:trPr>
        <w:tc>
          <w:tcPr>
            <w:tcW w:w="8290" w:type="dxa"/>
            <w:gridSpan w:val="5"/>
            <w:shd w:val="clear" w:color="auto" w:fill="D0CECE" w:themeFill="background2" w:themeFillShade="E6"/>
          </w:tcPr>
          <w:p>
            <w:pPr>
              <w:spacing w:beforeLines="50" w:before="156" w:afterLines="50" w:after="156" w:line="276" w:lineRule="auto"/>
              <w:ind w:firstLineChars="200" w:firstLine="422"/>
              <w:rPr>
                <w:rFonts w:ascii="Garamond" w:eastAsia="宋体" w:hAnsi="Garamond"/>
                <w:b/>
                <w:bCs/>
              </w:rPr>
            </w:pPr>
            <w:r>
              <w:rPr>
                <w:rFonts w:ascii="Garamond" w:eastAsia="宋体" w:hAnsi="Garamond"/>
                <w:b/>
                <w:bCs/>
              </w:rPr>
              <w:t>选题</w:t>
            </w:r>
            <w:r>
              <w:rPr>
                <w:rFonts w:ascii="Garamond" w:eastAsia="宋体" w:hAnsi="Garamond"/>
                <w:b/>
                <w:bCs/>
              </w:rPr>
              <w:t>2</w:t>
            </w:r>
            <w:r>
              <w:rPr>
                <w:rFonts w:ascii="Garamond" w:eastAsia="宋体" w:hAnsi="Garamond"/>
                <w:b/>
                <w:bCs/>
              </w:rPr>
              <w:t>：</w:t>
            </w:r>
            <w:r>
              <w:rPr>
                <w:rFonts w:ascii="Garamond" w:eastAsia="宋体" w:hAnsi="Garamond" w:hint="eastAsia"/>
                <w:b/>
                <w:bCs/>
              </w:rPr>
              <w:t>农村闲置宅基地和农房盘活利用问题</w:t>
            </w:r>
          </w:p>
        </w:tc>
      </w:tr>
      <w:tr>
        <w:trPr>
          <w:trHeight w:val="844"/>
        </w:trPr>
        <w:tc>
          <w:tcPr>
            <w:tcW w:w="8290" w:type="dxa"/>
            <w:gridSpan w:val="5"/>
          </w:tcPr>
          <w:p>
            <w:pPr>
              <w:spacing w:beforeLines="50" w:before="156" w:afterLines="50" w:after="156"/>
              <w:ind w:firstLineChars="200" w:firstLine="422"/>
              <w:rPr>
                <w:rFonts w:ascii="Garamond" w:eastAsia="宋体" w:hAnsi="Garamond"/>
              </w:rPr>
            </w:pPr>
            <w:r>
              <w:rPr>
                <w:rFonts w:ascii="Garamond" w:eastAsia="宋体" w:hAnsi="Garamond"/>
                <w:b/>
              </w:rPr>
              <w:t>简介</w:t>
            </w:r>
            <w:r>
              <w:rPr>
                <w:rFonts w:ascii="Garamond" w:eastAsia="宋体" w:hAnsi="Garamond" w:hint="eastAsia"/>
              </w:rPr>
              <w:t>：农村宅基地和农房是农村社会的重要资源，农村人口进城后的闲置宅基地和农房如何盘活利用是关系到农村农业现代化和新型城镇化的一个重大课题。针对限制因素为何、需要突破的政策为何等具体问题，基于案例，开展研究。</w:t>
            </w:r>
          </w:p>
        </w:tc>
      </w:tr>
      <w:tr>
        <w:trPr>
          <w:trHeight w:val="984"/>
        </w:trPr>
        <w:tc>
          <w:tcPr>
            <w:tcW w:w="8290" w:type="dxa"/>
            <w:gridSpan w:val="5"/>
            <w:shd w:val="clear" w:color="auto" w:fill="D0CECE" w:themeFill="background2" w:themeFillShade="E6"/>
          </w:tcPr>
          <w:p>
            <w:pPr>
              <w:spacing w:beforeLines="50" w:before="156" w:line="276" w:lineRule="auto"/>
              <w:ind w:firstLineChars="200" w:firstLine="422"/>
              <w:rPr>
                <w:rFonts w:ascii="Garamond" w:eastAsia="宋体" w:hAnsi="Garamond"/>
                <w:b/>
                <w:bCs/>
              </w:rPr>
            </w:pPr>
            <w:r>
              <w:rPr>
                <w:rFonts w:ascii="Garamond" w:eastAsia="宋体" w:hAnsi="Garamond"/>
                <w:b/>
                <w:bCs/>
              </w:rPr>
              <w:t>选题</w:t>
            </w:r>
            <w:r>
              <w:rPr>
                <w:rFonts w:ascii="Garamond" w:eastAsia="宋体" w:hAnsi="Garamond"/>
                <w:b/>
                <w:bCs/>
              </w:rPr>
              <w:t>3</w:t>
            </w:r>
            <w:r>
              <w:rPr>
                <w:rFonts w:ascii="Garamond" w:eastAsia="宋体" w:hAnsi="Garamond"/>
                <w:b/>
                <w:bCs/>
              </w:rPr>
              <w:t>：</w:t>
            </w:r>
            <w:r>
              <w:rPr>
                <w:rFonts w:ascii="Garamond" w:eastAsia="宋体" w:hAnsi="Garamond" w:hint="eastAsia"/>
                <w:b/>
                <w:bCs/>
              </w:rPr>
              <w:t>城市公共空间问题及管理对策</w:t>
            </w:r>
          </w:p>
        </w:tc>
      </w:tr>
      <w:tr>
        <w:trPr>
          <w:trHeight w:val="700"/>
        </w:trPr>
        <w:tc>
          <w:tcPr>
            <w:tcW w:w="8290" w:type="dxa"/>
            <w:gridSpan w:val="5"/>
          </w:tcPr>
          <w:p>
            <w:pPr>
              <w:spacing w:beforeLines="50" w:before="156"/>
              <w:ind w:firstLineChars="200" w:firstLine="422"/>
              <w:rPr>
                <w:rFonts w:ascii="Garamond" w:eastAsia="宋体" w:hAnsi="Garamond"/>
              </w:rPr>
            </w:pPr>
            <w:r>
              <w:rPr>
                <w:rFonts w:ascii="Garamond" w:eastAsia="宋体" w:hAnsi="Garamond"/>
                <w:b/>
              </w:rPr>
              <w:t>简介</w:t>
            </w:r>
            <w:r>
              <w:rPr>
                <w:rFonts w:ascii="Garamond" w:eastAsia="宋体" w:hAnsi="Garamond" w:hint="eastAsia"/>
              </w:rPr>
              <w:t>：不同类型的城市公共空间在弥补市民私人空间之不足、提升市民生活品质中发挥着不同的作用。针对某一类型的城市公共空间，基于案例，分析其存在的问题及发生原因，并提出对策。</w:t>
            </w:r>
          </w:p>
          <w:p>
            <w:pPr>
              <w:rPr>
                <w:rFonts w:ascii="Garamond" w:eastAsia="宋体" w:hAnsi="Garamond"/>
              </w:rPr>
            </w:pPr>
          </w:p>
        </w:tc>
      </w:tr>
      <w:tr>
        <w:trPr>
          <w:trHeight w:val="555"/>
        </w:trPr>
        <w:tc>
          <w:tcPr>
            <w:tcW w:w="8290" w:type="dxa"/>
            <w:gridSpan w:val="5"/>
          </w:tcPr>
          <w:p>
            <w:pPr>
              <w:spacing w:line="360" w:lineRule="auto"/>
              <w:jc w:val="center"/>
              <w:rPr>
                <w:rFonts w:ascii="Garamond" w:eastAsia="宋体" w:hAnsi="Garamond"/>
                <w:b/>
                <w:bCs/>
              </w:rPr>
            </w:pPr>
            <w:r>
              <w:rPr>
                <w:rFonts w:ascii="Garamond" w:eastAsia="宋体" w:hAnsi="Garamond" w:hint="eastAsia"/>
                <w:b/>
                <w:bCs/>
              </w:rPr>
              <w:t>对</w:t>
            </w:r>
            <w:r>
              <w:rPr>
                <w:rFonts w:ascii="Garamond" w:eastAsia="宋体" w:hAnsi="Garamond" w:hint="eastAsia"/>
                <w:b/>
                <w:bCs/>
              </w:rPr>
              <w:t>MPA</w:t>
            </w:r>
            <w:r>
              <w:rPr>
                <w:rFonts w:ascii="Garamond" w:eastAsia="宋体" w:hAnsi="Garamond" w:hint="eastAsia"/>
                <w:b/>
                <w:bCs/>
              </w:rPr>
              <w:t>学生的要求</w:t>
            </w:r>
          </w:p>
        </w:tc>
      </w:tr>
      <w:tr>
        <w:trPr>
          <w:trHeight w:val="1271"/>
        </w:trPr>
        <w:tc>
          <w:tcPr>
            <w:tcW w:w="8290" w:type="dxa"/>
            <w:gridSpan w:val="5"/>
            <w:tcBorders>
              <w:bottom w:val="single" w:sz="8" w:space="0" w:color="1F3864" w:themeColor="accent1" w:themeShade="80"/>
            </w:tcBorders>
          </w:tcPr>
          <w:p>
            <w:pPr>
              <w:rPr>
                <w:rFonts w:ascii="Garamond" w:eastAsia="宋体" w:hAnsi="Garamond"/>
              </w:rPr>
            </w:pPr>
          </w:p>
          <w:p>
            <w:pPr>
              <w:ind w:firstLineChars="200" w:firstLine="420"/>
              <w:rPr>
                <w:rFonts w:ascii="Garamond" w:eastAsia="宋体" w:hAnsi="Garamond"/>
              </w:rPr>
            </w:pPr>
            <w:r>
              <w:rPr>
                <w:rFonts w:ascii="Garamond" w:eastAsia="宋体" w:hAnsi="Garamond" w:hint="eastAsia"/>
              </w:rPr>
              <w:t>（</w:t>
            </w:r>
            <w:r>
              <w:rPr>
                <w:rFonts w:ascii="Garamond" w:eastAsia="宋体" w:hAnsi="Garamond" w:hint="eastAsia"/>
              </w:rPr>
              <w:t>1</w:t>
            </w:r>
            <w:r>
              <w:rPr>
                <w:rFonts w:ascii="Garamond" w:eastAsia="宋体" w:hAnsi="Garamond" w:hint="eastAsia"/>
              </w:rPr>
              <w:t>）认真、踏实；</w:t>
            </w:r>
          </w:p>
          <w:p>
            <w:pPr>
              <w:ind w:firstLineChars="200" w:firstLine="420"/>
              <w:rPr>
                <w:rFonts w:ascii="Garamond" w:eastAsia="宋体" w:hAnsi="Garamond"/>
              </w:rPr>
            </w:pPr>
            <w:r>
              <w:rPr>
                <w:rFonts w:ascii="Garamond" w:eastAsia="宋体" w:hAnsi="Garamond" w:hint="eastAsia"/>
              </w:rPr>
              <w:t>（</w:t>
            </w:r>
            <w:r>
              <w:rPr>
                <w:rFonts w:ascii="Garamond" w:eastAsia="宋体" w:hAnsi="Garamond" w:hint="eastAsia"/>
              </w:rPr>
              <w:t>2</w:t>
            </w:r>
            <w:r>
              <w:rPr>
                <w:rFonts w:ascii="Garamond" w:eastAsia="宋体" w:hAnsi="Garamond" w:hint="eastAsia"/>
              </w:rPr>
              <w:t>）立足实际开展研究。</w:t>
            </w:r>
          </w:p>
        </w:tc>
      </w:tr>
      <w:tr>
        <w:tc>
          <w:tcPr>
            <w:tcW w:w="8290" w:type="dxa"/>
            <w:gridSpan w:val="5"/>
            <w:tcBorders>
              <w:top w:val="single" w:sz="8" w:space="0" w:color="1F3864" w:themeColor="accent1" w:themeShade="80"/>
              <w:left w:val="nil"/>
              <w:bottom w:val="nil"/>
              <w:right w:val="nil"/>
            </w:tcBorders>
          </w:tcPr>
          <w:p>
            <w:pPr>
              <w:ind w:firstLineChars="200" w:firstLine="400"/>
              <w:rPr>
                <w:rFonts w:ascii="Garamond" w:eastAsia="宋体" w:hAnsi="Garamond"/>
                <w:sz w:val="20"/>
                <w:szCs w:val="22"/>
              </w:rPr>
            </w:pPr>
          </w:p>
          <w:p>
            <w:pPr>
              <w:ind w:firstLineChars="200" w:firstLine="400"/>
              <w:rPr>
                <w:rFonts w:ascii="Garamond" w:eastAsia="宋体" w:hAnsi="Garamond"/>
                <w:sz w:val="20"/>
                <w:szCs w:val="22"/>
              </w:rPr>
            </w:pPr>
            <w:r>
              <w:rPr>
                <w:rFonts w:ascii="Garamond" w:eastAsia="宋体" w:hAnsi="Garamond" w:hint="eastAsia"/>
                <w:sz w:val="20"/>
                <w:szCs w:val="22"/>
              </w:rPr>
              <w:t>本表更新时间：</w:t>
            </w:r>
            <w:r>
              <w:rPr>
                <w:rFonts w:ascii="Garamond" w:eastAsia="宋体" w:hAnsi="Garamond" w:hint="eastAsia"/>
                <w:sz w:val="20"/>
                <w:szCs w:val="22"/>
              </w:rPr>
              <w:t>2</w:t>
            </w:r>
            <w:r>
              <w:rPr>
                <w:rFonts w:ascii="Garamond" w:eastAsia="宋体" w:hAnsi="Garamond"/>
                <w:sz w:val="20"/>
                <w:szCs w:val="22"/>
              </w:rPr>
              <w:t>023</w:t>
            </w:r>
            <w:r>
              <w:rPr>
                <w:rFonts w:ascii="Garamond" w:eastAsia="宋体" w:hAnsi="Garamond" w:hint="eastAsia"/>
                <w:sz w:val="20"/>
                <w:szCs w:val="22"/>
              </w:rPr>
              <w:t>年</w:t>
            </w:r>
            <w:r>
              <w:rPr>
                <w:rFonts w:ascii="Garamond" w:eastAsia="宋体" w:hAnsi="Garamond"/>
                <w:sz w:val="20"/>
                <w:szCs w:val="22"/>
              </w:rPr>
              <w:t>4</w:t>
            </w:r>
            <w:r>
              <w:rPr>
                <w:rFonts w:ascii="Garamond" w:eastAsia="宋体" w:hAnsi="Garamond" w:hint="eastAsia"/>
                <w:sz w:val="20"/>
                <w:szCs w:val="22"/>
              </w:rPr>
              <w:t>月</w:t>
            </w:r>
          </w:p>
          <w:p>
            <w:pPr>
              <w:ind w:firstLineChars="200" w:firstLine="400"/>
              <w:rPr>
                <w:rFonts w:ascii="Garamond" w:eastAsia="宋体" w:hAnsi="Garamond"/>
                <w:sz w:val="20"/>
                <w:szCs w:val="22"/>
              </w:rPr>
            </w:pPr>
            <w:r>
              <w:rPr>
                <w:rFonts w:ascii="Garamond" w:eastAsia="宋体" w:hAnsi="Garamond" w:hint="eastAsia"/>
                <w:sz w:val="20"/>
                <w:szCs w:val="22"/>
              </w:rPr>
              <w:t>本表用于</w:t>
            </w:r>
            <w:r>
              <w:rPr>
                <w:rFonts w:ascii="Garamond" w:eastAsia="宋体" w:hAnsi="Garamond" w:hint="eastAsia"/>
                <w:sz w:val="20"/>
                <w:szCs w:val="22"/>
              </w:rPr>
              <w:t>MPA</w:t>
            </w:r>
            <w:r>
              <w:rPr>
                <w:rFonts w:ascii="Garamond" w:eastAsia="宋体" w:hAnsi="Garamond" w:hint="eastAsia"/>
                <w:sz w:val="20"/>
                <w:szCs w:val="22"/>
              </w:rPr>
              <w:t>项目师生双向选择。有关导师的详细信息请点击浙江大学教师个人主页获取。</w:t>
            </w:r>
          </w:p>
        </w:tc>
      </w:tr>
    </w:tbl>
    <w:p>
      <w:pPr>
        <w:rPr>
          <w:rFonts w:ascii="Garamond" w:eastAsia="宋体" w:hAnsi="Garamond"/>
        </w:rPr>
      </w:pPr>
      <w:bookmarkStart w:id="0" w:name="_GoBack"/>
      <w:bookmarkEnd w:id="0"/>
    </w:p>
    <w:sectPr>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Garamond">
    <w:altName w:val="MS PMincho"/>
    <w:panose1 w:val="02020404030301010803"/>
    <w:charset w:val="00"/>
    <w:family w:val="roman"/>
    <w:pitch w:val="variable"/>
    <w:sig w:usb0="00000287" w:usb1="00000000"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B2CAB"/>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1CD4394A"/>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22345746"/>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2BA47221"/>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50896667"/>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DD41B64-E2E9-48E4-8DD7-7850D8E18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pPr>
      <w:ind w:firstLineChars="200" w:firstLine="420"/>
    </w:p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character" w:customStyle="1" w:styleId="a8">
    <w:name w:val="页脚 字符"/>
    <w:basedOn w:val="a0"/>
    <w:link w:val="a7"/>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80</Words>
  <Characters>457</Characters>
  <Application>Microsoft Office Word</Application>
  <DocSecurity>0</DocSecurity>
  <Lines>3</Lines>
  <Paragraphs>1</Paragraphs>
  <ScaleCrop>false</ScaleCrop>
  <Company>ZJU</Company>
  <LinksUpToDate>false</LinksUpToDate>
  <CharactersWithSpaces>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Xiang Gao</dc:creator>
  <cp:lastModifiedBy>DELL</cp:lastModifiedBy>
  <cp:revision>6</cp:revision>
  <dcterms:created xsi:type="dcterms:W3CDTF">2019-10-29T14:01:00Z</dcterms:created>
  <dcterms:modified xsi:type="dcterms:W3CDTF">2023-04-10T06:57:00Z</dcterms:modified>
</cp:coreProperties>
</file>