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129"/>
        <w:gridCol w:w="1276"/>
        <w:gridCol w:w="992"/>
        <w:gridCol w:w="2820"/>
        <w:gridCol w:w="2073"/>
      </w:tblGrid>
      <w:tr>
        <w:tc>
          <w:tcPr>
            <w:tcW w:w="8290" w:type="dxa"/>
            <w:gridSpan w:val="5"/>
            <w:tcBorders>
              <w:top w:val="nil"/>
              <w:left w:val="nil"/>
              <w:bottom w:val="single" w:sz="8" w:space="0" w:color="1F3864" w:themeColor="accent1" w:themeShade="80"/>
              <w:right w:val="nil"/>
            </w:tcBorders>
          </w:tcPr>
          <w:p>
            <w:pPr>
              <w:spacing w:line="480" w:lineRule="auto"/>
              <w:jc w:val="center"/>
              <w:rPr>
                <w:rFonts w:ascii="Garamond" w:eastAsia="宋体" w:hAnsi="Garamond"/>
                <w:b/>
                <w:bCs/>
                <w:sz w:val="24"/>
                <w:szCs w:val="32"/>
              </w:rPr>
            </w:pPr>
            <w:r>
              <w:rPr>
                <w:rFonts w:ascii="Garamond" w:eastAsia="宋体" w:hAnsi="Garamond"/>
                <w:b/>
                <w:bCs/>
                <w:sz w:val="24"/>
                <w:szCs w:val="32"/>
              </w:rPr>
              <w:t>浙江大学</w:t>
            </w:r>
            <w:r>
              <w:rPr>
                <w:rFonts w:ascii="Garamond" w:eastAsia="宋体" w:hAnsi="Garamond"/>
                <w:b/>
                <w:bCs/>
                <w:sz w:val="24"/>
                <w:szCs w:val="32"/>
              </w:rPr>
              <w:t>MPA</w:t>
            </w:r>
            <w:r>
              <w:rPr>
                <w:rFonts w:ascii="Garamond" w:eastAsia="宋体" w:hAnsi="Garamond"/>
                <w:b/>
                <w:bCs/>
                <w:sz w:val="24"/>
                <w:szCs w:val="32"/>
              </w:rPr>
              <w:t>专业导师信息表</w:t>
            </w:r>
          </w:p>
        </w:tc>
      </w:tr>
      <w:tr>
        <w:tc>
          <w:tcPr>
            <w:tcW w:w="1129" w:type="dxa"/>
            <w:tcBorders>
              <w:top w:val="single" w:sz="8" w:space="0" w:color="1F3864" w:themeColor="accent1" w:themeShade="80"/>
            </w:tcBorders>
          </w:tcPr>
          <w:p>
            <w:pPr>
              <w:spacing w:line="276" w:lineRule="auto"/>
              <w:jc w:val="distribute"/>
              <w:rPr>
                <w:rFonts w:ascii="Garamond" w:eastAsia="宋体" w:hAnsi="Garamond"/>
              </w:rPr>
            </w:pPr>
            <w:r>
              <w:rPr>
                <w:rFonts w:ascii="Garamond" w:eastAsia="宋体" w:hAnsi="Garamond"/>
              </w:rPr>
              <w:t>姓名</w:t>
            </w:r>
          </w:p>
        </w:tc>
        <w:tc>
          <w:tcPr>
            <w:tcW w:w="1276" w:type="dxa"/>
            <w:tcBorders>
              <w:top w:val="single" w:sz="8" w:space="0" w:color="1F3864" w:themeColor="accent1" w:themeShade="80"/>
            </w:tcBorders>
          </w:tcPr>
          <w:p>
            <w:pPr>
              <w:spacing w:line="276" w:lineRule="auto"/>
              <w:rPr>
                <w:rFonts w:ascii="Garamond" w:eastAsia="宋体" w:hAnsi="Garamond"/>
              </w:rPr>
            </w:pPr>
            <w:r>
              <w:rPr>
                <w:rFonts w:ascii="Garamond" w:eastAsia="宋体" w:hAnsi="Garamond" w:hint="eastAsia"/>
              </w:rPr>
              <w:t>潘有能</w:t>
            </w:r>
          </w:p>
        </w:tc>
        <w:tc>
          <w:tcPr>
            <w:tcW w:w="992" w:type="dxa"/>
            <w:tcBorders>
              <w:top w:val="single" w:sz="8" w:space="0" w:color="1F3864" w:themeColor="accent1" w:themeShade="80"/>
            </w:tcBorders>
          </w:tcPr>
          <w:p>
            <w:pPr>
              <w:spacing w:line="276" w:lineRule="auto"/>
              <w:rPr>
                <w:rFonts w:ascii="Garamond" w:eastAsia="宋体" w:hAnsi="Garamond"/>
              </w:rPr>
            </w:pPr>
            <w:r>
              <w:rPr>
                <w:rFonts w:ascii="Garamond" w:eastAsia="宋体" w:hAnsi="Garamond"/>
              </w:rPr>
              <w:t>职称</w:t>
            </w:r>
          </w:p>
        </w:tc>
        <w:tc>
          <w:tcPr>
            <w:tcW w:w="2820" w:type="dxa"/>
            <w:tcBorders>
              <w:top w:val="single" w:sz="8" w:space="0" w:color="1F3864" w:themeColor="accent1" w:themeShade="80"/>
            </w:tcBorders>
          </w:tcPr>
          <w:p>
            <w:pPr>
              <w:spacing w:line="276" w:lineRule="auto"/>
              <w:rPr>
                <w:rFonts w:ascii="Garamond" w:eastAsia="宋体" w:hAnsi="Garamond"/>
              </w:rPr>
            </w:pPr>
            <w:r>
              <w:rPr>
                <w:rFonts w:ascii="Garamond" w:eastAsia="宋体" w:hAnsi="Garamond" w:hint="eastAsia"/>
              </w:rPr>
              <w:t>副教授</w:t>
            </w:r>
          </w:p>
        </w:tc>
        <w:tc>
          <w:tcPr>
            <w:tcW w:w="2073" w:type="dxa"/>
            <w:vMerge w:val="restart"/>
            <w:tcBorders>
              <w:top w:val="single" w:sz="8" w:space="0" w:color="1F3864" w:themeColor="accent1" w:themeShade="80"/>
            </w:tcBorders>
          </w:tcPr>
          <w:p>
            <w:pPr>
              <w:spacing w:line="276" w:lineRule="auto"/>
              <w:jc w:val="center"/>
              <w:rPr>
                <w:rFonts w:ascii="Garamond" w:eastAsia="宋体" w:hAnsi="Garamond"/>
              </w:rPr>
            </w:pPr>
            <w:r>
              <w:rPr>
                <w:rFonts w:ascii="Garamond" w:eastAsia="宋体" w:hAnsi="Garamond" w:hint="eastAsia"/>
                <w:noProof/>
              </w:rPr>
              <w:drawing>
                <wp:inline distT="0" distB="0" distL="0" distR="0">
                  <wp:extent cx="740833" cy="1039127"/>
                  <wp:effectExtent l="0" t="0" r="0" b="2540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潘有能证件照2021半身.jpeg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1700" cy="1040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c>
          <w:tcPr>
            <w:tcW w:w="1129" w:type="dxa"/>
          </w:tcPr>
          <w:p>
            <w:pPr>
              <w:spacing w:line="276" w:lineRule="auto"/>
              <w:jc w:val="distribute"/>
              <w:rPr>
                <w:rFonts w:ascii="Garamond" w:eastAsia="宋体" w:hAnsi="Garamond"/>
              </w:rPr>
            </w:pPr>
            <w:r>
              <w:rPr>
                <w:rFonts w:ascii="Garamond" w:eastAsia="宋体" w:hAnsi="Garamond"/>
              </w:rPr>
              <w:t>性别</w:t>
            </w:r>
          </w:p>
        </w:tc>
        <w:tc>
          <w:tcPr>
            <w:tcW w:w="1276" w:type="dxa"/>
          </w:tcPr>
          <w:p>
            <w:pPr>
              <w:spacing w:line="276" w:lineRule="auto"/>
              <w:rPr>
                <w:rFonts w:ascii="Garamond" w:eastAsia="宋体" w:hAnsi="Garamond"/>
              </w:rPr>
            </w:pPr>
            <w:r>
              <w:rPr>
                <w:rFonts w:ascii="Garamond" w:eastAsia="宋体" w:hAnsi="Garamond" w:hint="eastAsia"/>
              </w:rPr>
              <w:t>男</w:t>
            </w:r>
          </w:p>
        </w:tc>
        <w:tc>
          <w:tcPr>
            <w:tcW w:w="992" w:type="dxa"/>
          </w:tcPr>
          <w:p>
            <w:pPr>
              <w:spacing w:line="276" w:lineRule="auto"/>
              <w:rPr>
                <w:rFonts w:ascii="Garamond" w:eastAsia="宋体" w:hAnsi="Garamond"/>
              </w:rPr>
            </w:pPr>
            <w:r>
              <w:rPr>
                <w:rFonts w:ascii="Garamond" w:eastAsia="宋体" w:hAnsi="Garamond"/>
              </w:rPr>
              <w:t>研究所</w:t>
            </w:r>
          </w:p>
        </w:tc>
        <w:tc>
          <w:tcPr>
            <w:tcW w:w="2820" w:type="dxa"/>
          </w:tcPr>
          <w:p>
            <w:pPr>
              <w:spacing w:line="276" w:lineRule="auto"/>
              <w:rPr>
                <w:rFonts w:ascii="Garamond" w:eastAsia="宋体" w:hAnsi="Garamond"/>
              </w:rPr>
            </w:pPr>
            <w:r>
              <w:rPr>
                <w:rFonts w:ascii="Garamond" w:eastAsia="宋体" w:hAnsi="Garamond" w:hint="eastAsia"/>
              </w:rPr>
              <w:t>信息资源管理研究所</w:t>
            </w:r>
          </w:p>
        </w:tc>
        <w:tc>
          <w:tcPr>
            <w:tcW w:w="2073" w:type="dxa"/>
            <w:vMerge/>
          </w:tcPr>
          <w:p>
            <w:pPr>
              <w:spacing w:line="276" w:lineRule="auto"/>
              <w:rPr>
                <w:rFonts w:ascii="Garamond" w:eastAsia="宋体" w:hAnsi="Garamond"/>
              </w:rPr>
            </w:pPr>
          </w:p>
        </w:tc>
      </w:tr>
      <w:tr>
        <w:tc>
          <w:tcPr>
            <w:tcW w:w="1129" w:type="dxa"/>
          </w:tcPr>
          <w:p>
            <w:pPr>
              <w:spacing w:line="276" w:lineRule="auto"/>
              <w:jc w:val="distribute"/>
              <w:rPr>
                <w:rFonts w:ascii="Garamond" w:eastAsia="宋体" w:hAnsi="Garamond"/>
              </w:rPr>
            </w:pPr>
            <w:r>
              <w:rPr>
                <w:rFonts w:ascii="Garamond" w:eastAsia="宋体" w:hAnsi="Garamond"/>
              </w:rPr>
              <w:t>电子邮箱</w:t>
            </w:r>
          </w:p>
        </w:tc>
        <w:tc>
          <w:tcPr>
            <w:tcW w:w="5088" w:type="dxa"/>
            <w:gridSpan w:val="3"/>
          </w:tcPr>
          <w:p>
            <w:pPr>
              <w:spacing w:line="276" w:lineRule="auto"/>
              <w:rPr>
                <w:rFonts w:ascii="Garamond" w:eastAsia="宋体" w:hAnsi="Garamond"/>
              </w:rPr>
            </w:pPr>
            <w:r>
              <w:rPr>
                <w:rFonts w:ascii="Garamond" w:eastAsia="宋体" w:hAnsi="Garamond" w:hint="eastAsia"/>
              </w:rPr>
              <w:t>ynpan@zju.edu.cn</w:t>
            </w:r>
          </w:p>
        </w:tc>
        <w:tc>
          <w:tcPr>
            <w:tcW w:w="2073" w:type="dxa"/>
            <w:vMerge/>
          </w:tcPr>
          <w:p>
            <w:pPr>
              <w:spacing w:line="276" w:lineRule="auto"/>
              <w:rPr>
                <w:rFonts w:ascii="Garamond" w:eastAsia="宋体" w:hAnsi="Garamond"/>
              </w:rPr>
            </w:pPr>
          </w:p>
        </w:tc>
      </w:tr>
      <w:tr>
        <w:tc>
          <w:tcPr>
            <w:tcW w:w="6217" w:type="dxa"/>
            <w:gridSpan w:val="4"/>
          </w:tcPr>
          <w:p>
            <w:pPr>
              <w:spacing w:line="276" w:lineRule="auto"/>
              <w:rPr>
                <w:rFonts w:ascii="Garamond" w:eastAsia="宋体" w:hAnsi="Garamond"/>
              </w:rPr>
            </w:pPr>
            <w:r>
              <w:rPr>
                <w:rFonts w:ascii="Garamond" w:eastAsia="宋体" w:hAnsi="Garamond"/>
              </w:rPr>
              <w:t>个人主页：</w:t>
            </w:r>
            <w:r>
              <w:rPr>
                <w:rFonts w:ascii="Garamond" w:eastAsia="宋体" w:hAnsi="Garamond"/>
              </w:rPr>
              <w:t>https://person.zju.edu.cn/0004214/568800.html</w:t>
            </w:r>
          </w:p>
        </w:tc>
        <w:tc>
          <w:tcPr>
            <w:tcW w:w="2073" w:type="dxa"/>
            <w:vMerge/>
          </w:tcPr>
          <w:p>
            <w:pPr>
              <w:spacing w:line="276" w:lineRule="auto"/>
              <w:rPr>
                <w:rFonts w:ascii="Garamond" w:eastAsia="宋体" w:hAnsi="Garamond"/>
              </w:rPr>
            </w:pPr>
          </w:p>
        </w:tc>
      </w:tr>
      <w:tr>
        <w:tc>
          <w:tcPr>
            <w:tcW w:w="8290" w:type="dxa"/>
            <w:gridSpan w:val="5"/>
          </w:tcPr>
          <w:p>
            <w:pPr>
              <w:spacing w:line="360" w:lineRule="auto"/>
              <w:jc w:val="center"/>
              <w:rPr>
                <w:rFonts w:ascii="Garamond" w:eastAsia="宋体" w:hAnsi="Garamond"/>
                <w:b/>
                <w:bCs/>
              </w:rPr>
            </w:pPr>
            <w:r>
              <w:rPr>
                <w:rFonts w:ascii="Garamond" w:eastAsia="宋体" w:hAnsi="Garamond"/>
                <w:b/>
                <w:bCs/>
              </w:rPr>
              <w:t>拟带</w:t>
            </w:r>
            <w:r>
              <w:rPr>
                <w:rFonts w:ascii="Garamond" w:eastAsia="宋体" w:hAnsi="Garamond"/>
                <w:b/>
                <w:bCs/>
              </w:rPr>
              <w:t>MPA</w:t>
            </w:r>
            <w:r>
              <w:rPr>
                <w:rFonts w:ascii="Garamond" w:eastAsia="宋体" w:hAnsi="Garamond"/>
                <w:b/>
                <w:bCs/>
              </w:rPr>
              <w:t>学生的论文选题方向</w:t>
            </w:r>
          </w:p>
        </w:tc>
      </w:tr>
      <w:tr>
        <w:trPr>
          <w:trHeight w:val="413"/>
        </w:trPr>
        <w:tc>
          <w:tcPr>
            <w:tcW w:w="8290" w:type="dxa"/>
            <w:gridSpan w:val="5"/>
            <w:shd w:val="clear" w:color="auto" w:fill="D0CECE" w:themeFill="background2" w:themeFillShade="E6"/>
          </w:tcPr>
          <w:p>
            <w:pPr>
              <w:rPr>
                <w:rFonts w:ascii="Garamond" w:eastAsia="宋体" w:hAnsi="Garamond"/>
                <w:b/>
                <w:bCs/>
              </w:rPr>
            </w:pPr>
            <w:r>
              <w:rPr>
                <w:rFonts w:ascii="Garamond" w:eastAsia="宋体" w:hAnsi="Garamond"/>
                <w:b/>
                <w:bCs/>
              </w:rPr>
              <w:t>选题</w:t>
            </w:r>
            <w:r>
              <w:rPr>
                <w:rFonts w:ascii="Garamond" w:eastAsia="宋体" w:hAnsi="Garamond"/>
                <w:b/>
                <w:bCs/>
              </w:rPr>
              <w:t>1</w:t>
            </w:r>
            <w:r>
              <w:rPr>
                <w:rFonts w:ascii="Garamond" w:eastAsia="宋体" w:hAnsi="Garamond"/>
                <w:b/>
                <w:bCs/>
              </w:rPr>
              <w:t>：</w:t>
            </w:r>
            <w:r>
              <w:rPr>
                <w:rFonts w:ascii="Garamond" w:eastAsia="宋体" w:hAnsi="Garamond" w:hint="eastAsia"/>
                <w:b/>
                <w:bCs/>
              </w:rPr>
              <w:t>大数据与政府决策支持</w:t>
            </w:r>
          </w:p>
        </w:tc>
      </w:tr>
      <w:tr>
        <w:trPr>
          <w:trHeight w:val="848"/>
        </w:trPr>
        <w:tc>
          <w:tcPr>
            <w:tcW w:w="8290" w:type="dxa"/>
            <w:gridSpan w:val="5"/>
          </w:tcPr>
          <w:p>
            <w:pPr>
              <w:rPr>
                <w:rFonts w:ascii="Garamond" w:eastAsia="宋体" w:hAnsi="Garamond"/>
              </w:rPr>
            </w:pPr>
            <w:r>
              <w:rPr>
                <w:rFonts w:ascii="Garamond" w:eastAsia="宋体" w:hAnsi="Garamond" w:hint="eastAsia"/>
              </w:rPr>
              <w:t>简介</w:t>
            </w:r>
            <w:r>
              <w:rPr>
                <w:rFonts w:ascii="Garamond" w:eastAsia="宋体" w:hAnsi="Garamond" w:hint="eastAsia"/>
              </w:rPr>
              <w:t>1</w:t>
            </w:r>
            <w:r>
              <w:rPr>
                <w:rFonts w:ascii="Garamond" w:eastAsia="宋体" w:hAnsi="Garamond" w:hint="eastAsia"/>
              </w:rPr>
              <w:t>：围绕当前政府数字化转型新阶段中数据所发挥的关键性作用，对多源异构数据进行融合，根据业务需求选择适当的多学科或交叉性模型展开分析，为政府决策提供数据支撑，结合可视化、智能化、计算化等相关技术，将数据驱动政府治理从政务服务拓展至整个公共管理领域。</w:t>
            </w:r>
          </w:p>
        </w:tc>
      </w:tr>
      <w:tr>
        <w:trPr>
          <w:trHeight w:val="386"/>
        </w:trPr>
        <w:tc>
          <w:tcPr>
            <w:tcW w:w="8290" w:type="dxa"/>
            <w:gridSpan w:val="5"/>
            <w:shd w:val="clear" w:color="auto" w:fill="D0CECE" w:themeFill="background2" w:themeFillShade="E6"/>
          </w:tcPr>
          <w:p>
            <w:pPr>
              <w:rPr>
                <w:rFonts w:ascii="Garamond" w:eastAsia="宋体" w:hAnsi="Garamond"/>
                <w:b/>
                <w:bCs/>
              </w:rPr>
            </w:pPr>
            <w:r>
              <w:rPr>
                <w:rFonts w:ascii="Garamond" w:eastAsia="宋体" w:hAnsi="Garamond"/>
                <w:b/>
                <w:bCs/>
              </w:rPr>
              <w:t>选题</w:t>
            </w:r>
            <w:r>
              <w:rPr>
                <w:rFonts w:ascii="Garamond" w:eastAsia="宋体" w:hAnsi="Garamond"/>
                <w:b/>
                <w:bCs/>
              </w:rPr>
              <w:t>2</w:t>
            </w:r>
            <w:r>
              <w:rPr>
                <w:rFonts w:ascii="Garamond" w:eastAsia="宋体" w:hAnsi="Garamond"/>
                <w:b/>
                <w:bCs/>
              </w:rPr>
              <w:t>：</w:t>
            </w:r>
            <w:r>
              <w:rPr>
                <w:rFonts w:ascii="Garamond" w:eastAsia="宋体" w:hAnsi="Garamond" w:hint="eastAsia"/>
                <w:b/>
                <w:bCs/>
              </w:rPr>
              <w:t>公共数据管理与评价</w:t>
            </w:r>
          </w:p>
        </w:tc>
      </w:tr>
      <w:tr>
        <w:trPr>
          <w:trHeight w:val="683"/>
        </w:trPr>
        <w:tc>
          <w:tcPr>
            <w:tcW w:w="8290" w:type="dxa"/>
            <w:gridSpan w:val="5"/>
          </w:tcPr>
          <w:p>
            <w:pPr>
              <w:rPr>
                <w:rFonts w:ascii="Garamond" w:eastAsia="宋体" w:hAnsi="Garamond"/>
              </w:rPr>
            </w:pPr>
            <w:r>
              <w:rPr>
                <w:rFonts w:ascii="Garamond" w:eastAsia="宋体" w:hAnsi="Garamond"/>
              </w:rPr>
              <w:t>简介</w:t>
            </w:r>
            <w:r>
              <w:rPr>
                <w:rFonts w:ascii="Garamond" w:eastAsia="宋体" w:hAnsi="Garamond" w:hint="eastAsia"/>
              </w:rPr>
              <w:t>：关注公共部门的数据收集、组织、共享与开放以及相应的评价方法与模型，通过具体案例分析公共数据管理中的重点难点及相应对策，从而提升公共部门数据治理能力。</w:t>
            </w:r>
          </w:p>
        </w:tc>
      </w:tr>
      <w:tr>
        <w:trPr>
          <w:trHeight w:val="395"/>
        </w:trPr>
        <w:tc>
          <w:tcPr>
            <w:tcW w:w="8290" w:type="dxa"/>
            <w:gridSpan w:val="5"/>
            <w:shd w:val="clear" w:color="auto" w:fill="D0CECE" w:themeFill="background2" w:themeFillShade="E6"/>
          </w:tcPr>
          <w:p>
            <w:pPr>
              <w:spacing w:line="276" w:lineRule="auto"/>
              <w:rPr>
                <w:rFonts w:ascii="Garamond" w:eastAsia="宋体" w:hAnsi="Garamond"/>
                <w:b/>
                <w:bCs/>
              </w:rPr>
            </w:pPr>
            <w:r>
              <w:rPr>
                <w:rFonts w:ascii="Garamond" w:eastAsia="宋体" w:hAnsi="Garamond"/>
                <w:b/>
                <w:bCs/>
              </w:rPr>
              <w:t>选题</w:t>
            </w:r>
            <w:r>
              <w:rPr>
                <w:rFonts w:ascii="Garamond" w:eastAsia="宋体" w:hAnsi="Garamond"/>
                <w:b/>
                <w:bCs/>
              </w:rPr>
              <w:t>3</w:t>
            </w:r>
            <w:r>
              <w:rPr>
                <w:rFonts w:ascii="Garamond" w:eastAsia="宋体" w:hAnsi="Garamond"/>
                <w:b/>
                <w:bCs/>
              </w:rPr>
              <w:t>：</w:t>
            </w:r>
            <w:r>
              <w:rPr>
                <w:rFonts w:ascii="Garamond" w:eastAsia="宋体" w:hAnsi="Garamond" w:hint="eastAsia"/>
                <w:b/>
                <w:bCs/>
              </w:rPr>
              <w:t>智能政务服务</w:t>
            </w:r>
          </w:p>
        </w:tc>
      </w:tr>
      <w:tr>
        <w:trPr>
          <w:trHeight w:val="700"/>
        </w:trPr>
        <w:tc>
          <w:tcPr>
            <w:tcW w:w="8290" w:type="dxa"/>
            <w:gridSpan w:val="5"/>
          </w:tcPr>
          <w:p>
            <w:pPr>
              <w:rPr>
                <w:rFonts w:ascii="Garamond" w:eastAsia="宋体" w:hAnsi="Garamond"/>
              </w:rPr>
            </w:pPr>
            <w:r>
              <w:rPr>
                <w:rFonts w:ascii="Garamond" w:eastAsia="宋体" w:hAnsi="Garamond"/>
              </w:rPr>
              <w:t>简介</w:t>
            </w:r>
            <w:r>
              <w:rPr>
                <w:rFonts w:ascii="Garamond" w:eastAsia="宋体" w:hAnsi="Garamond" w:hint="eastAsia"/>
              </w:rPr>
              <w:t>：围绕当前互联网</w:t>
            </w:r>
            <w:r>
              <w:rPr>
                <w:rFonts w:ascii="Garamond" w:eastAsia="宋体" w:hAnsi="Garamond"/>
              </w:rPr>
              <w:t>+</w:t>
            </w:r>
            <w:r>
              <w:rPr>
                <w:rFonts w:ascii="Garamond" w:eastAsia="宋体" w:hAnsi="Garamond" w:hint="eastAsia"/>
              </w:rPr>
              <w:t>环境下政务服务智能化建设的创新模式与实践，结合大数据、云计算、人工智能等新兴技术进行相关研究。</w:t>
            </w:r>
          </w:p>
        </w:tc>
      </w:tr>
      <w:tr>
        <w:trPr>
          <w:trHeight w:val="555"/>
        </w:trPr>
        <w:tc>
          <w:tcPr>
            <w:tcW w:w="8290" w:type="dxa"/>
            <w:gridSpan w:val="5"/>
          </w:tcPr>
          <w:p>
            <w:pPr>
              <w:spacing w:line="360" w:lineRule="auto"/>
              <w:jc w:val="center"/>
              <w:rPr>
                <w:rFonts w:ascii="Garamond" w:eastAsia="宋体" w:hAnsi="Garamond"/>
                <w:b/>
                <w:bCs/>
              </w:rPr>
            </w:pPr>
            <w:r>
              <w:rPr>
                <w:rFonts w:ascii="Garamond" w:eastAsia="宋体" w:hAnsi="Garamond" w:hint="eastAsia"/>
                <w:b/>
                <w:bCs/>
              </w:rPr>
              <w:t>对</w:t>
            </w:r>
            <w:r>
              <w:rPr>
                <w:rFonts w:ascii="Garamond" w:eastAsia="宋体" w:hAnsi="Garamond" w:hint="eastAsia"/>
                <w:b/>
                <w:bCs/>
              </w:rPr>
              <w:t>MPA</w:t>
            </w:r>
            <w:r>
              <w:rPr>
                <w:rFonts w:ascii="Garamond" w:eastAsia="宋体" w:hAnsi="Garamond" w:hint="eastAsia"/>
                <w:b/>
                <w:bCs/>
              </w:rPr>
              <w:t>学生的要求</w:t>
            </w:r>
          </w:p>
        </w:tc>
      </w:tr>
      <w:tr>
        <w:trPr>
          <w:trHeight w:val="1271"/>
        </w:trPr>
        <w:tc>
          <w:tcPr>
            <w:tcW w:w="8290" w:type="dxa"/>
            <w:gridSpan w:val="5"/>
            <w:tcBorders>
              <w:bottom w:val="single" w:sz="8" w:space="0" w:color="1F3864" w:themeColor="accent1" w:themeShade="80"/>
            </w:tcBorders>
          </w:tcPr>
          <w:p>
            <w:pPr>
              <w:rPr>
                <w:rFonts w:ascii="Garamond" w:eastAsia="宋体" w:hAnsi="Garamond"/>
              </w:rPr>
            </w:pPr>
            <w:r>
              <w:rPr>
                <w:rFonts w:ascii="Garamond" w:eastAsia="宋体" w:hAnsi="Garamond" w:hint="eastAsia"/>
              </w:rPr>
              <w:t>1</w:t>
            </w:r>
            <w:r>
              <w:rPr>
                <w:rFonts w:ascii="Garamond" w:eastAsia="宋体" w:hAnsi="Garamond" w:hint="eastAsia"/>
              </w:rPr>
              <w:t>、态度端正，积极主动，具有较强的学习能力。</w:t>
            </w:r>
            <w:r>
              <w:rPr>
                <w:rFonts w:ascii="Garamond" w:eastAsia="宋体" w:hAnsi="Garamond" w:hint="eastAsia"/>
              </w:rPr>
              <w:t xml:space="preserve"> </w:t>
            </w:r>
          </w:p>
          <w:p>
            <w:pPr>
              <w:rPr>
                <w:rFonts w:ascii="Garamond" w:eastAsia="宋体" w:hAnsi="Garamond"/>
              </w:rPr>
            </w:pPr>
            <w:r>
              <w:rPr>
                <w:rFonts w:ascii="Garamond" w:eastAsia="宋体" w:hAnsi="Garamond" w:hint="eastAsia"/>
              </w:rPr>
              <w:t>2</w:t>
            </w:r>
            <w:r>
              <w:rPr>
                <w:rFonts w:ascii="Garamond" w:eastAsia="宋体" w:hAnsi="Garamond" w:hint="eastAsia"/>
              </w:rPr>
              <w:t>、善于思考，能将平时的工作和学习研究结合起来。</w:t>
            </w:r>
          </w:p>
          <w:p>
            <w:pPr>
              <w:rPr>
                <w:rFonts w:ascii="Garamond" w:eastAsia="宋体" w:hAnsi="Garamond"/>
              </w:rPr>
            </w:pPr>
            <w:r>
              <w:rPr>
                <w:rFonts w:ascii="Garamond" w:eastAsia="宋体" w:hAnsi="Garamond" w:hint="eastAsia"/>
              </w:rPr>
              <w:t>3</w:t>
            </w:r>
            <w:r>
              <w:rPr>
                <w:rFonts w:ascii="Garamond" w:eastAsia="宋体" w:hAnsi="Garamond" w:hint="eastAsia"/>
              </w:rPr>
              <w:t>、掌握公共管理领域的基础理论知识，了解相关的研究方法，遵守学术规范。</w:t>
            </w:r>
          </w:p>
        </w:tc>
      </w:tr>
      <w:tr>
        <w:tc>
          <w:tcPr>
            <w:tcW w:w="8290" w:type="dxa"/>
            <w:gridSpan w:val="5"/>
            <w:tcBorders>
              <w:top w:val="single" w:sz="8" w:space="0" w:color="1F3864" w:themeColor="accent1" w:themeShade="80"/>
              <w:left w:val="nil"/>
              <w:bottom w:val="nil"/>
              <w:right w:val="nil"/>
            </w:tcBorders>
          </w:tcPr>
          <w:p>
            <w:pPr>
              <w:ind w:firstLineChars="200" w:firstLine="400"/>
              <w:rPr>
                <w:rFonts w:ascii="Garamond" w:eastAsia="宋体" w:hAnsi="Garamond"/>
                <w:sz w:val="20"/>
                <w:szCs w:val="22"/>
              </w:rPr>
            </w:pPr>
          </w:p>
          <w:p>
            <w:pPr>
              <w:ind w:firstLineChars="200" w:firstLine="400"/>
              <w:rPr>
                <w:rFonts w:ascii="Garamond" w:eastAsia="宋体" w:hAnsi="Garamond"/>
                <w:sz w:val="20"/>
                <w:szCs w:val="22"/>
              </w:rPr>
            </w:pPr>
            <w:r>
              <w:rPr>
                <w:rFonts w:ascii="Garamond" w:eastAsia="宋体" w:hAnsi="Garamond" w:hint="eastAsia"/>
                <w:sz w:val="20"/>
                <w:szCs w:val="22"/>
              </w:rPr>
              <w:t>本表更新时间：</w:t>
            </w:r>
            <w:r>
              <w:rPr>
                <w:rFonts w:ascii="Garamond" w:eastAsia="宋体" w:hAnsi="Garamond" w:hint="eastAsia"/>
                <w:sz w:val="20"/>
                <w:szCs w:val="22"/>
              </w:rPr>
              <w:t>2</w:t>
            </w:r>
            <w:r>
              <w:rPr>
                <w:rFonts w:ascii="Garamond" w:eastAsia="宋体" w:hAnsi="Garamond"/>
                <w:sz w:val="20"/>
                <w:szCs w:val="22"/>
              </w:rPr>
              <w:t>023</w:t>
            </w:r>
            <w:r>
              <w:rPr>
                <w:rFonts w:ascii="Garamond" w:eastAsia="宋体" w:hAnsi="Garamond" w:hint="eastAsia"/>
                <w:sz w:val="20"/>
                <w:szCs w:val="22"/>
              </w:rPr>
              <w:t>年</w:t>
            </w:r>
            <w:r>
              <w:rPr>
                <w:rFonts w:ascii="Garamond" w:eastAsia="宋体" w:hAnsi="Garamond"/>
                <w:sz w:val="20"/>
                <w:szCs w:val="22"/>
              </w:rPr>
              <w:t>4</w:t>
            </w:r>
            <w:r>
              <w:rPr>
                <w:rFonts w:ascii="Garamond" w:eastAsia="宋体" w:hAnsi="Garamond" w:hint="eastAsia"/>
                <w:sz w:val="20"/>
                <w:szCs w:val="22"/>
              </w:rPr>
              <w:t>月</w:t>
            </w:r>
          </w:p>
          <w:p>
            <w:pPr>
              <w:ind w:firstLineChars="200" w:firstLine="400"/>
              <w:rPr>
                <w:rFonts w:ascii="Garamond" w:eastAsia="宋体" w:hAnsi="Garamond"/>
                <w:sz w:val="20"/>
                <w:szCs w:val="22"/>
              </w:rPr>
            </w:pPr>
            <w:r>
              <w:rPr>
                <w:rFonts w:ascii="Garamond" w:eastAsia="宋体" w:hAnsi="Garamond" w:hint="eastAsia"/>
                <w:sz w:val="20"/>
                <w:szCs w:val="22"/>
              </w:rPr>
              <w:t>本表用于</w:t>
            </w:r>
            <w:r>
              <w:rPr>
                <w:rFonts w:ascii="Garamond" w:eastAsia="宋体" w:hAnsi="Garamond" w:hint="eastAsia"/>
                <w:sz w:val="20"/>
                <w:szCs w:val="22"/>
              </w:rPr>
              <w:t>MPA</w:t>
            </w:r>
            <w:r>
              <w:rPr>
                <w:rFonts w:ascii="Garamond" w:eastAsia="宋体" w:hAnsi="Garamond" w:hint="eastAsia"/>
                <w:sz w:val="20"/>
                <w:szCs w:val="22"/>
              </w:rPr>
              <w:t>项目师生双向选择。有关导师的详细信息请点击浙江大学教师个人主页获取。</w:t>
            </w:r>
          </w:p>
        </w:tc>
      </w:tr>
    </w:tbl>
    <w:p>
      <w:pPr>
        <w:rPr>
          <w:rFonts w:ascii="Garamond" w:eastAsia="宋体" w:hAnsi="Garamond"/>
        </w:rPr>
      </w:pPr>
      <w:bookmarkStart w:id="0" w:name="_GoBack"/>
      <w:bookmarkEnd w:id="0"/>
    </w:p>
    <w:sectPr>
      <w:pgSz w:w="11900" w:h="16840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>
      <w:r>
        <w:separator/>
      </w:r>
    </w:p>
  </w:endnote>
  <w:endnote w:type="continuationSeparator" w:id="0">
    <w:p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>
      <w:r>
        <w:separator/>
      </w:r>
    </w:p>
  </w:footnote>
  <w:footnote w:type="continuationSeparator" w:id="0">
    <w:p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8B2CAB"/>
    <w:multiLevelType w:val="hybridMultilevel"/>
    <w:tmpl w:val="C3F04930"/>
    <w:lvl w:ilvl="0" w:tplc="6F22EB6A">
      <w:start w:val="1"/>
      <w:numFmt w:val="japaneseCounting"/>
      <w:lvlText w:val="第%1，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" w15:restartNumberingAfterBreak="0">
    <w:nsid w:val="1CD4394A"/>
    <w:multiLevelType w:val="hybridMultilevel"/>
    <w:tmpl w:val="C3F04930"/>
    <w:lvl w:ilvl="0" w:tplc="6F22EB6A">
      <w:start w:val="1"/>
      <w:numFmt w:val="japaneseCounting"/>
      <w:lvlText w:val="第%1，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" w15:restartNumberingAfterBreak="0">
    <w:nsid w:val="22345746"/>
    <w:multiLevelType w:val="hybridMultilevel"/>
    <w:tmpl w:val="C3F04930"/>
    <w:lvl w:ilvl="0" w:tplc="6F22EB6A">
      <w:start w:val="1"/>
      <w:numFmt w:val="japaneseCounting"/>
      <w:lvlText w:val="第%1，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3" w15:restartNumberingAfterBreak="0">
    <w:nsid w:val="2BA47221"/>
    <w:multiLevelType w:val="hybridMultilevel"/>
    <w:tmpl w:val="C3F04930"/>
    <w:lvl w:ilvl="0" w:tplc="6F22EB6A">
      <w:start w:val="1"/>
      <w:numFmt w:val="japaneseCounting"/>
      <w:lvlText w:val="第%1，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4" w15:restartNumberingAfterBreak="0">
    <w:nsid w:val="50896667"/>
    <w:multiLevelType w:val="hybridMultilevel"/>
    <w:tmpl w:val="C3F04930"/>
    <w:lvl w:ilvl="0" w:tplc="6F22EB6A">
      <w:start w:val="1"/>
      <w:numFmt w:val="japaneseCounting"/>
      <w:lvlText w:val="第%1，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57561780-6C17-49E7-A0AD-E4A26E8BA6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pPr>
      <w:ind w:firstLineChars="200" w:firstLine="420"/>
    </w:pPr>
  </w:style>
  <w:style w:type="paragraph" w:styleId="a5">
    <w:name w:val="header"/>
    <w:basedOn w:val="a"/>
    <w:link w:val="a6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Pr>
      <w:sz w:val="18"/>
      <w:szCs w:val="18"/>
    </w:rPr>
  </w:style>
  <w:style w:type="paragraph" w:styleId="a9">
    <w:name w:val="Normal (Web)"/>
    <w:basedOn w:val="a"/>
    <w:uiPriority w:val="99"/>
    <w:semiHidden/>
    <w:unhideWhenUsed/>
    <w:pPr>
      <w:widowControl/>
      <w:spacing w:before="100" w:beforeAutospacing="1" w:after="100" w:afterAutospacing="1"/>
      <w:jc w:val="left"/>
    </w:pPr>
    <w:rPr>
      <w:rFonts w:ascii="Times" w:hAnsi="Times" w:cs="Times New Roman"/>
      <w:kern w:val="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40283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586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</TotalTime>
  <Pages>1</Pages>
  <Words>91</Words>
  <Characters>522</Characters>
  <Application>Microsoft Office Word</Application>
  <DocSecurity>0</DocSecurity>
  <Lines>4</Lines>
  <Paragraphs>1</Paragraphs>
  <ScaleCrop>false</ScaleCrop>
  <Company>ZJU</Company>
  <LinksUpToDate>false</LinksUpToDate>
  <CharactersWithSpaces>612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Xiang Gao</dc:creator>
  <cp:keywords/>
  <dc:description/>
  <cp:lastModifiedBy>DELL</cp:lastModifiedBy>
  <cp:revision>45</cp:revision>
  <dcterms:created xsi:type="dcterms:W3CDTF">2019-10-12T01:50:00Z</dcterms:created>
  <dcterms:modified xsi:type="dcterms:W3CDTF">2023-04-10T07:04:00Z</dcterms:modified>
</cp:coreProperties>
</file>