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郑盛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土地科学与不动产研究所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s</w:t>
            </w:r>
            <w:r>
              <w:rPr>
                <w:rFonts w:ascii="Garamond" w:eastAsia="宋体" w:hAnsi="Garamond"/>
              </w:rPr>
              <w:t>hengzheng@zju.edu.cn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zhengsheng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土地资源管理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土地利用与区域发展，土地利用现状和社会经济结构的协调性评价，土地政策响应；土地利用与空间规划研究。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能源、气候与经济社会发展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能源碳排放估算模拟，影响因素量化分析，减</w:t>
            </w:r>
            <w:proofErr w:type="gramStart"/>
            <w:r>
              <w:rPr>
                <w:rFonts w:ascii="Garamond" w:eastAsia="宋体" w:hAnsi="Garamond" w:hint="eastAsia"/>
              </w:rPr>
              <w:t>排政策</w:t>
            </w:r>
            <w:proofErr w:type="gramEnd"/>
            <w:r>
              <w:rPr>
                <w:rFonts w:ascii="Garamond" w:eastAsia="宋体" w:hAnsi="Garamond" w:hint="eastAsia"/>
              </w:rPr>
              <w:t>研究。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具备定性与定量研究方法的基础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24</cp:revision>
  <dcterms:created xsi:type="dcterms:W3CDTF">2019-10-22T22:22:00Z</dcterms:created>
  <dcterms:modified xsi:type="dcterms:W3CDTF">2023-04-10T07:18:00Z</dcterms:modified>
</cp:coreProperties>
</file>