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6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韩昊英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1171575" cy="16383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建工学院城乡理论所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hanhaoying</w:t>
            </w:r>
            <w:r>
              <w:rPr>
                <w:rFonts w:ascii="Garamond" w:eastAsia="宋体" w:hAnsi="Garamond"/>
              </w:rPr>
              <w:t>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</w:t>
            </w:r>
            <w:bookmarkStart w:id="0" w:name="_GoBack"/>
            <w:bookmarkEnd w:id="0"/>
            <w:r>
              <w:rPr>
                <w:rFonts w:ascii="Garamond" w:eastAsia="宋体" w:hAnsi="Garamond"/>
              </w:rPr>
              <w:t>：</w:t>
            </w:r>
            <w:r>
              <w:rPr>
                <w:rFonts w:ascii="Garamond" w:eastAsia="宋体" w:hAnsi="Garamond"/>
              </w:rPr>
              <w:t>https://person.zju.edu.cn/hanhaoying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城市发展战略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城市复杂性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城市开发控制线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视野开阔，善于组织和沟通，能够下决心花时间认真研究一个课题。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>ZJU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20</cp:revision>
  <dcterms:created xsi:type="dcterms:W3CDTF">2019-11-03T16:32:00Z</dcterms:created>
  <dcterms:modified xsi:type="dcterms:W3CDTF">2023-04-26T02:11:00Z</dcterms:modified>
</cp:coreProperties>
</file>