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8290" w:type="dxa"/>
        <w:tblLayout w:type="fixed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3351"/>
        <w:gridCol w:w="1542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郑备军</w:t>
            </w:r>
            <w:proofErr w:type="gramEnd"/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3351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教授、博士生导师</w:t>
            </w:r>
          </w:p>
        </w:tc>
        <w:tc>
          <w:tcPr>
            <w:tcW w:w="1542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3351" w:type="dxa"/>
          </w:tcPr>
          <w:p>
            <w:pPr>
              <w:tabs>
                <w:tab w:val="right" w:pos="2604"/>
              </w:tabs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浙江大学公共经济与财政研究所</w:t>
            </w:r>
          </w:p>
        </w:tc>
        <w:tc>
          <w:tcPr>
            <w:tcW w:w="1542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619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zbjzju@163.com</w:t>
            </w:r>
          </w:p>
        </w:tc>
        <w:tc>
          <w:tcPr>
            <w:tcW w:w="1542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748" w:type="dxa"/>
            <w:gridSpan w:val="4"/>
          </w:tcPr>
          <w:p>
            <w:pPr>
              <w:spacing w:line="276" w:lineRule="auto"/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/>
              </w:rPr>
              <w:t>个人主页：</w:t>
            </w:r>
            <w:bookmarkStart w:id="0" w:name="_GoBack"/>
            <w:bookmarkEnd w:id="0"/>
            <w:r>
              <w:rPr>
                <w:rFonts w:ascii="Garamond" w:eastAsia="宋体" w:hAnsi="Garamond"/>
              </w:rPr>
              <w:t xml:space="preserve"> https://person.zju.edu.cn/zhengbeijun</w:t>
            </w:r>
          </w:p>
        </w:tc>
        <w:tc>
          <w:tcPr>
            <w:tcW w:w="1542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税收理论与实践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：税制改革和税收征管改革等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财政理论与实践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：财政支出与财政体制改革等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公共经济理论与实践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：政府预算与公共部门相关问题等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态度端正、认真好学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8367E7-5388-45ED-9580-0BBFA5BE8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49</Words>
  <Characters>281</Characters>
  <Application>Microsoft Office Word</Application>
  <DocSecurity>0</DocSecurity>
  <Lines>2</Lines>
  <Paragraphs>1</Paragraphs>
  <ScaleCrop>false</ScaleCrop>
  <Company>ZJU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 Gao</dc:creator>
  <cp:lastModifiedBy>DELL</cp:lastModifiedBy>
  <cp:revision>29</cp:revision>
  <dcterms:created xsi:type="dcterms:W3CDTF">2019-10-12T01:50:00Z</dcterms:created>
  <dcterms:modified xsi:type="dcterms:W3CDTF">2023-04-26T01:46:00Z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