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276"/>
        <w:gridCol w:w="992"/>
        <w:gridCol w:w="2820"/>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Borders>
              <w:top w:val="nil"/>
              <w:left w:val="nil"/>
              <w:bottom w:val="single" w:color="1F3864" w:themeColor="accent1" w:themeShade="80" w:sz="8" w:space="0"/>
              <w:right w:val="nil"/>
            </w:tcBorders>
          </w:tcPr>
          <w:p>
            <w:pPr>
              <w:spacing w:line="480" w:lineRule="auto"/>
              <w:jc w:val="center"/>
              <w:rPr>
                <w:rFonts w:ascii="Garamond" w:hAnsi="Garamond" w:eastAsia="宋体"/>
                <w:b/>
                <w:bCs/>
                <w:sz w:val="24"/>
                <w:szCs w:val="32"/>
              </w:rPr>
            </w:pPr>
            <w:r>
              <w:rPr>
                <w:rFonts w:hint="eastAsia" w:ascii="黑体" w:hAnsi="黑体" w:eastAsia="黑体" w:cs="黑体"/>
                <w:b/>
                <w:bCs/>
                <w:sz w:val="24"/>
                <w:szCs w:val="24"/>
              </w:rPr>
              <w:t>浙江大学MPA专业导师信息表</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1F3864" w:themeColor="accent1" w:themeShade="80" w:sz="8" w:space="0"/>
            </w:tcBorders>
          </w:tcPr>
          <w:p>
            <w:pPr>
              <w:spacing w:line="276" w:lineRule="auto"/>
              <w:jc w:val="distribute"/>
              <w:rPr>
                <w:rFonts w:ascii="Garamond" w:hAnsi="Garamond" w:eastAsia="宋体"/>
              </w:rPr>
            </w:pPr>
            <w:r>
              <w:rPr>
                <w:rFonts w:ascii="Garamond" w:hAnsi="Garamond" w:eastAsia="宋体"/>
              </w:rPr>
              <w:t>姓名</w:t>
            </w:r>
          </w:p>
        </w:tc>
        <w:tc>
          <w:tcPr>
            <w:tcW w:w="1276" w:type="dxa"/>
            <w:tcBorders>
              <w:top w:val="single" w:color="1F3864" w:themeColor="accent1" w:themeShade="80" w:sz="8" w:space="0"/>
            </w:tcBorders>
          </w:tcPr>
          <w:p>
            <w:pPr>
              <w:spacing w:line="276" w:lineRule="auto"/>
              <w:rPr>
                <w:rFonts w:ascii="Garamond" w:hAnsi="Garamond" w:eastAsia="宋体"/>
              </w:rPr>
            </w:pPr>
            <w:r>
              <w:rPr>
                <w:rFonts w:hint="eastAsia" w:ascii="Garamond" w:hAnsi="Garamond" w:eastAsia="宋体"/>
              </w:rPr>
              <w:t>章燕华</w:t>
            </w:r>
          </w:p>
        </w:tc>
        <w:tc>
          <w:tcPr>
            <w:tcW w:w="992" w:type="dxa"/>
            <w:tcBorders>
              <w:top w:val="single" w:color="1F3864" w:themeColor="accent1" w:themeShade="80" w:sz="8" w:space="0"/>
            </w:tcBorders>
          </w:tcPr>
          <w:p>
            <w:pPr>
              <w:spacing w:line="276" w:lineRule="auto"/>
              <w:rPr>
                <w:rFonts w:ascii="Garamond" w:hAnsi="Garamond" w:eastAsia="宋体"/>
              </w:rPr>
            </w:pPr>
            <w:r>
              <w:rPr>
                <w:rFonts w:ascii="Garamond" w:hAnsi="Garamond" w:eastAsia="宋体"/>
              </w:rPr>
              <w:t>职称</w:t>
            </w:r>
          </w:p>
        </w:tc>
        <w:tc>
          <w:tcPr>
            <w:tcW w:w="2820" w:type="dxa"/>
            <w:tcBorders>
              <w:top w:val="single" w:color="1F3864" w:themeColor="accent1" w:themeShade="80" w:sz="8" w:space="0"/>
            </w:tcBorders>
          </w:tcPr>
          <w:p>
            <w:pPr>
              <w:spacing w:line="276" w:lineRule="auto"/>
              <w:rPr>
                <w:rFonts w:ascii="Garamond" w:hAnsi="Garamond" w:eastAsia="宋体"/>
              </w:rPr>
            </w:pPr>
            <w:r>
              <w:rPr>
                <w:rFonts w:hint="eastAsia" w:ascii="Garamond" w:hAnsi="Garamond" w:eastAsia="宋体"/>
              </w:rPr>
              <w:t>副教授</w:t>
            </w:r>
          </w:p>
        </w:tc>
        <w:tc>
          <w:tcPr>
            <w:tcW w:w="2073" w:type="dxa"/>
            <w:vMerge w:val="restart"/>
            <w:tcBorders>
              <w:top w:val="single" w:color="1F3864" w:themeColor="accent1" w:themeShade="80" w:sz="8" w:space="0"/>
            </w:tcBorders>
          </w:tcPr>
          <w:p>
            <w:pPr>
              <w:spacing w:line="276" w:lineRule="auto"/>
              <w:rPr>
                <w:rFonts w:hint="eastAsia" w:ascii="Garamond" w:hAnsi="Garamond" w:eastAsia="宋体"/>
                <w:lang w:eastAsia="zh-CN"/>
              </w:rPr>
            </w:pPr>
            <w:r>
              <w:rPr>
                <w:rFonts w:hint="eastAsia" w:ascii="Garamond" w:hAnsi="Garamond" w:eastAsia="宋体"/>
                <w:lang w:eastAsia="zh-CN"/>
              </w:rPr>
              <w:drawing>
                <wp:inline distT="0" distB="0" distL="114300" distR="114300">
                  <wp:extent cx="1064895" cy="1325245"/>
                  <wp:effectExtent l="0" t="0" r="1905" b="8255"/>
                  <wp:docPr id="1" name="图片 1" descr="章燕华大头照（高像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章燕华大头照（高像素）"/>
                          <pic:cNvPicPr>
                            <a:picLocks noChangeAspect="1"/>
                          </pic:cNvPicPr>
                        </pic:nvPicPr>
                        <pic:blipFill>
                          <a:blip r:embed="rId4"/>
                          <a:stretch>
                            <a:fillRect/>
                          </a:stretch>
                        </pic:blipFill>
                        <pic:spPr>
                          <a:xfrm>
                            <a:off x="0" y="0"/>
                            <a:ext cx="1064895" cy="132524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276" w:lineRule="auto"/>
              <w:jc w:val="distribute"/>
              <w:rPr>
                <w:rFonts w:ascii="Garamond" w:hAnsi="Garamond" w:eastAsia="宋体"/>
              </w:rPr>
            </w:pPr>
            <w:r>
              <w:rPr>
                <w:rFonts w:ascii="Garamond" w:hAnsi="Garamond" w:eastAsia="宋体"/>
              </w:rPr>
              <w:t>性别</w:t>
            </w:r>
          </w:p>
        </w:tc>
        <w:tc>
          <w:tcPr>
            <w:tcW w:w="1276" w:type="dxa"/>
          </w:tcPr>
          <w:p>
            <w:pPr>
              <w:spacing w:line="276" w:lineRule="auto"/>
              <w:rPr>
                <w:rFonts w:ascii="Garamond" w:hAnsi="Garamond" w:eastAsia="宋体"/>
              </w:rPr>
            </w:pPr>
            <w:r>
              <w:rPr>
                <w:rFonts w:hint="eastAsia" w:ascii="Garamond" w:hAnsi="Garamond" w:eastAsia="宋体"/>
              </w:rPr>
              <w:t>女</w:t>
            </w:r>
          </w:p>
        </w:tc>
        <w:tc>
          <w:tcPr>
            <w:tcW w:w="992" w:type="dxa"/>
          </w:tcPr>
          <w:p>
            <w:pPr>
              <w:spacing w:line="276" w:lineRule="auto"/>
              <w:rPr>
                <w:rFonts w:ascii="Garamond" w:hAnsi="Garamond" w:eastAsia="宋体"/>
              </w:rPr>
            </w:pPr>
            <w:r>
              <w:rPr>
                <w:rFonts w:ascii="Garamond" w:hAnsi="Garamond" w:eastAsia="宋体"/>
              </w:rPr>
              <w:t>研究所</w:t>
            </w:r>
          </w:p>
        </w:tc>
        <w:tc>
          <w:tcPr>
            <w:tcW w:w="2820" w:type="dxa"/>
          </w:tcPr>
          <w:p>
            <w:pPr>
              <w:spacing w:line="276" w:lineRule="auto"/>
              <w:rPr>
                <w:rFonts w:ascii="Garamond" w:hAnsi="Garamond" w:eastAsia="宋体"/>
              </w:rPr>
            </w:pPr>
            <w:r>
              <w:rPr>
                <w:rFonts w:hint="eastAsia" w:ascii="Garamond" w:hAnsi="Garamond" w:eastAsia="宋体"/>
              </w:rPr>
              <w:t>信息资源管理系\所</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276" w:lineRule="auto"/>
              <w:jc w:val="distribute"/>
              <w:rPr>
                <w:rFonts w:ascii="Garamond" w:hAnsi="Garamond" w:eastAsia="宋体"/>
              </w:rPr>
            </w:pPr>
            <w:r>
              <w:rPr>
                <w:rFonts w:ascii="Garamond" w:hAnsi="Garamond" w:eastAsia="宋体"/>
              </w:rPr>
              <w:t>电子邮箱</w:t>
            </w:r>
          </w:p>
        </w:tc>
        <w:tc>
          <w:tcPr>
            <w:tcW w:w="5088" w:type="dxa"/>
            <w:gridSpan w:val="3"/>
          </w:tcPr>
          <w:p>
            <w:pPr>
              <w:spacing w:line="276" w:lineRule="auto"/>
              <w:rPr>
                <w:rFonts w:ascii="Garamond" w:hAnsi="Garamond" w:eastAsia="宋体"/>
              </w:rPr>
            </w:pPr>
            <w:r>
              <w:rPr>
                <w:rFonts w:hint="eastAsia" w:ascii="Garamond" w:hAnsi="Garamond" w:eastAsia="宋体"/>
              </w:rPr>
              <w:t>zhangyanhua@</w:t>
            </w:r>
            <w:r>
              <w:rPr>
                <w:rFonts w:ascii="Garamond" w:hAnsi="Garamond" w:eastAsia="宋体"/>
              </w:rPr>
              <w:t>zju.edu.cn</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17" w:type="dxa"/>
            <w:gridSpan w:val="4"/>
          </w:tcPr>
          <w:p>
            <w:pPr>
              <w:spacing w:line="276" w:lineRule="auto"/>
              <w:rPr>
                <w:rFonts w:ascii="Garamond" w:hAnsi="Garamond" w:eastAsia="宋体"/>
              </w:rPr>
            </w:pPr>
            <w:r>
              <w:rPr>
                <w:rFonts w:ascii="Garamond" w:hAnsi="Garamond" w:eastAsia="宋体"/>
              </w:rPr>
              <w:t>个人主页：person.zju.edu.cn/</w:t>
            </w:r>
            <w:r>
              <w:rPr>
                <w:rFonts w:hint="eastAsia" w:ascii="Garamond" w:hAnsi="Garamond" w:eastAsia="宋体"/>
              </w:rPr>
              <w:t>zhangyanhua</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Pr>
          <w:p>
            <w:pPr>
              <w:spacing w:line="360" w:lineRule="auto"/>
              <w:jc w:val="center"/>
              <w:rPr>
                <w:rFonts w:ascii="Garamond" w:hAnsi="Garamond" w:eastAsia="宋体"/>
                <w:b/>
                <w:bCs/>
              </w:rPr>
            </w:pPr>
            <w:r>
              <w:rPr>
                <w:rFonts w:hint="eastAsia" w:ascii="黑体" w:hAnsi="黑体" w:eastAsia="黑体" w:cs="黑体"/>
                <w:b/>
                <w:bCs/>
                <w:sz w:val="24"/>
                <w:szCs w:val="24"/>
              </w:rPr>
              <w:t>拟带MPA学生的论文选题方向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290" w:type="dxa"/>
            <w:gridSpan w:val="5"/>
            <w:shd w:val="clear" w:color="auto" w:fill="D0CECE" w:themeFill="background2" w:themeFillShade="E6"/>
          </w:tcPr>
          <w:p>
            <w:pPr>
              <w:spacing w:line="276" w:lineRule="auto"/>
              <w:rPr>
                <w:rFonts w:ascii="Garamond" w:hAnsi="Garamond" w:eastAsia="宋体"/>
                <w:b/>
                <w:bCs/>
              </w:rPr>
            </w:pPr>
            <w:r>
              <w:rPr>
                <w:rFonts w:hint="eastAsia" w:ascii="黑体" w:hAnsi="黑体" w:eastAsia="黑体" w:cs="黑体"/>
                <w:b/>
                <w:bCs/>
                <w:color w:val="000000"/>
                <w:sz w:val="24"/>
                <w:szCs w:val="24"/>
                <w:lang w:val="en-US" w:eastAsia="zh-CN"/>
              </w:rPr>
              <w:t>方向1：政府</w:t>
            </w:r>
            <w:r>
              <w:rPr>
                <w:rFonts w:hint="eastAsia" w:ascii="黑体" w:hAnsi="黑体" w:eastAsia="黑体" w:cs="黑体"/>
                <w:b/>
                <w:bCs/>
                <w:color w:val="000000"/>
                <w:sz w:val="24"/>
                <w:szCs w:val="24"/>
              </w:rPr>
              <w:t>数据治理</w:t>
            </w:r>
            <w:r>
              <w:rPr>
                <w:rFonts w:hint="eastAsia" w:ascii="黑体" w:hAnsi="黑体" w:eastAsia="黑体" w:cs="黑体"/>
                <w:b/>
                <w:bCs/>
                <w:color w:val="000000"/>
                <w:sz w:val="24"/>
                <w:szCs w:val="24"/>
                <w:lang w:val="en-US" w:eastAsia="zh-CN"/>
              </w:rPr>
              <w:t>与数字政府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8290" w:type="dxa"/>
            <w:gridSpan w:val="5"/>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422" w:firstLineChars="200"/>
              <w:textAlignment w:val="auto"/>
              <w:rPr>
                <w:rFonts w:ascii="Garamond" w:hAnsi="Garamond" w:eastAsia="宋体"/>
              </w:rPr>
            </w:pPr>
            <w:r>
              <w:rPr>
                <w:rFonts w:hint="eastAsia" w:ascii="楷体" w:hAnsi="楷体" w:eastAsia="楷体" w:cs="楷体"/>
                <w:b/>
                <w:bCs/>
                <w:kern w:val="2"/>
                <w:sz w:val="21"/>
                <w:szCs w:val="21"/>
                <w:lang w:val="en-US" w:eastAsia="zh-CN" w:bidi="ar-SA"/>
              </w:rPr>
              <w:t>简介：</w:t>
            </w:r>
            <w:r>
              <w:rPr>
                <w:rFonts w:hint="eastAsia" w:ascii="楷体" w:hAnsi="楷体" w:eastAsia="楷体" w:cs="楷体"/>
                <w:kern w:val="2"/>
                <w:sz w:val="21"/>
                <w:szCs w:val="21"/>
                <w:lang w:val="en-US" w:eastAsia="zh-CN" w:bidi="ar-SA"/>
              </w:rPr>
              <w:t>随着数字化转型加速推进，数据逐渐成为驱动发展的关键要素、赋能治理现代化的新型基础设施与构筑国家竞争新优势的重要支撑。数字赋能和数据驱动的政府治理现代化已成为中国式现代化的重要内容和显著特征。本方向研究如何统筹数据价值创造、数据普惠公平与增进社会信任，通过对政府（公共）数据的有效治理、科学管理与创新应用，激活数据要素潜能，建设数据驱动的一体化智能化的数字政府，服务全面深化改革和高质量发展，推进国家治理体系与治理能力现代化。</w:t>
            </w:r>
            <w:r>
              <w:rPr>
                <w:rFonts w:hint="eastAsia" w:ascii="楷体" w:hAnsi="楷体" w:eastAsia="楷体" w:cs="楷体"/>
                <w:kern w:val="2"/>
                <w:sz w:val="21"/>
                <w:szCs w:val="21"/>
                <w:lang w:val="en-US" w:eastAsia="zh-CN" w:bidi="ar-SA"/>
              </w:rPr>
              <w:t>近期主要研究和关注的议题：</w:t>
            </w:r>
            <w:r>
              <w:rPr>
                <w:rFonts w:hint="default" w:ascii="楷体" w:hAnsi="楷体" w:eastAsia="楷体" w:cs="楷体"/>
                <w:kern w:val="2"/>
                <w:sz w:val="21"/>
                <w:szCs w:val="21"/>
                <w:lang w:val="en-US" w:eastAsia="zh-CN" w:bidi="ar-SA"/>
              </w:rPr>
              <w:t>①</w:t>
            </w:r>
            <w:r>
              <w:rPr>
                <w:rFonts w:hint="eastAsia" w:ascii="楷体" w:hAnsi="楷体" w:eastAsia="楷体" w:cs="楷体"/>
                <w:kern w:val="2"/>
                <w:sz w:val="21"/>
                <w:szCs w:val="21"/>
                <w:lang w:val="en-US" w:eastAsia="zh-CN" w:bidi="ar-SA"/>
              </w:rPr>
              <w:t>建设数据驱动型现代政府的基础理论与最佳实践；</w:t>
            </w:r>
            <w:r>
              <w:rPr>
                <w:rFonts w:hint="default" w:ascii="楷体" w:hAnsi="楷体" w:eastAsia="楷体" w:cs="楷体"/>
                <w:kern w:val="2"/>
                <w:sz w:val="21"/>
                <w:szCs w:val="21"/>
                <w:lang w:val="en-US" w:eastAsia="zh-CN" w:bidi="ar-SA"/>
              </w:rPr>
              <w:t>②</w:t>
            </w:r>
            <w:r>
              <w:rPr>
                <w:rFonts w:hint="eastAsia" w:ascii="楷体" w:hAnsi="楷体" w:eastAsia="楷体" w:cs="楷体"/>
                <w:kern w:val="2"/>
                <w:sz w:val="21"/>
                <w:szCs w:val="21"/>
                <w:lang w:val="en-US" w:eastAsia="zh-CN" w:bidi="ar-SA"/>
              </w:rPr>
              <w:t>基于一体化智能化平台的政府（公共）数据治理；</w:t>
            </w:r>
            <w:r>
              <w:rPr>
                <w:rFonts w:hint="default" w:ascii="楷体" w:hAnsi="楷体" w:eastAsia="楷体" w:cs="楷体"/>
                <w:kern w:val="2"/>
                <w:sz w:val="21"/>
                <w:szCs w:val="21"/>
                <w:lang w:val="en-US" w:eastAsia="zh-CN" w:bidi="ar-SA"/>
              </w:rPr>
              <w:t>③</w:t>
            </w:r>
            <w:r>
              <w:rPr>
                <w:rFonts w:hint="eastAsia" w:ascii="楷体" w:hAnsi="楷体" w:eastAsia="楷体" w:cs="楷体"/>
                <w:kern w:val="2"/>
                <w:sz w:val="21"/>
                <w:szCs w:val="21"/>
                <w:lang w:val="en-US" w:eastAsia="zh-CN" w:bidi="ar-SA"/>
              </w:rPr>
              <w:t>数字化转型（改革）背景下的领导干部数字素养与数字能力。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CN"/>
              </w:rPr>
            </w:pPr>
            <w:r>
              <w:rPr>
                <w:rFonts w:hint="eastAsia" w:ascii="黑体" w:hAnsi="黑体" w:eastAsia="黑体" w:cs="黑体"/>
                <w:b/>
                <w:bCs/>
                <w:color w:val="000000"/>
                <w:sz w:val="24"/>
                <w:szCs w:val="24"/>
                <w:lang w:val="en-US" w:eastAsia="zh-CN"/>
              </w:rPr>
              <w:t>方向2：数字战略与政策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290" w:type="dxa"/>
            <w:gridSpan w:val="5"/>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422" w:firstLineChars="200"/>
              <w:textAlignment w:val="auto"/>
              <w:rPr>
                <w:rFonts w:ascii="Garamond" w:hAnsi="Garamond" w:eastAsia="宋体"/>
              </w:rPr>
            </w:pPr>
            <w:r>
              <w:rPr>
                <w:rFonts w:hint="eastAsia" w:ascii="楷体" w:hAnsi="楷体" w:eastAsia="楷体" w:cs="楷体"/>
                <w:b/>
                <w:bCs/>
                <w:kern w:val="2"/>
                <w:sz w:val="21"/>
                <w:szCs w:val="21"/>
                <w:lang w:val="en-US" w:eastAsia="zh-CN" w:bidi="ar-SA"/>
              </w:rPr>
              <w:t>简介：</w:t>
            </w:r>
            <w:r>
              <w:rPr>
                <w:rFonts w:hint="eastAsia" w:ascii="楷体" w:hAnsi="楷体" w:eastAsia="楷体" w:cs="楷体"/>
                <w:kern w:val="2"/>
                <w:sz w:val="21"/>
                <w:szCs w:val="21"/>
                <w:lang w:val="en-US" w:eastAsia="zh-CN" w:bidi="ar-SA"/>
              </w:rPr>
              <w:t>如何充分利用数字化提供的机遇，同时有效应对数字化所带来的挑战风险，需要通过高层次的数字战略与政策加以引导和监管。本方向研究数字化发展进程中数字技术变革与信息（数据）管理和利用引发新矛盾和权益冲突，如何通过科学的顶层设计引领数字技术发展、数据流通与利用的全方位治理，确保数字化发展的普惠公平与可持续，实现“数字善治”。近期主要研究和关注的议题：</w:t>
            </w:r>
            <w:r>
              <w:rPr>
                <w:rFonts w:hint="default" w:ascii="楷体" w:hAnsi="楷体" w:eastAsia="楷体" w:cs="楷体"/>
                <w:kern w:val="2"/>
                <w:sz w:val="21"/>
                <w:szCs w:val="21"/>
                <w:lang w:val="en-US" w:eastAsia="zh-CN" w:bidi="ar-SA"/>
              </w:rPr>
              <w:t>①</w:t>
            </w:r>
            <w:r>
              <w:rPr>
                <w:rFonts w:hint="eastAsia" w:ascii="楷体" w:hAnsi="楷体" w:eastAsia="楷体" w:cs="楷体"/>
                <w:kern w:val="2"/>
                <w:sz w:val="21"/>
                <w:szCs w:val="21"/>
                <w:lang w:val="en-US" w:eastAsia="zh-CN" w:bidi="ar-SA"/>
              </w:rPr>
              <w:t>国家数字化战略与全球科技竞争；</w:t>
            </w:r>
            <w:r>
              <w:rPr>
                <w:rFonts w:hint="default" w:ascii="楷体" w:hAnsi="楷体" w:eastAsia="楷体" w:cs="楷体"/>
                <w:kern w:val="2"/>
                <w:sz w:val="21"/>
                <w:szCs w:val="21"/>
                <w:lang w:val="en-US" w:eastAsia="zh-CN" w:bidi="ar-SA"/>
              </w:rPr>
              <w:t>②</w:t>
            </w:r>
            <w:r>
              <w:rPr>
                <w:rFonts w:hint="eastAsia" w:ascii="楷体" w:hAnsi="楷体" w:eastAsia="楷体" w:cs="楷体"/>
                <w:kern w:val="2"/>
                <w:sz w:val="21"/>
                <w:szCs w:val="21"/>
                <w:lang w:val="en-US" w:eastAsia="zh-CN" w:bidi="ar-SA"/>
              </w:rPr>
              <w:t>国家数据战略与数据驱动发展路径选择；</w:t>
            </w:r>
            <w:r>
              <w:rPr>
                <w:rFonts w:hint="default" w:ascii="楷体" w:hAnsi="楷体" w:eastAsia="楷体" w:cs="楷体"/>
                <w:kern w:val="2"/>
                <w:sz w:val="21"/>
                <w:szCs w:val="21"/>
                <w:lang w:val="en-US" w:eastAsia="zh-CN" w:bidi="ar-SA"/>
              </w:rPr>
              <w:t>③</w:t>
            </w:r>
            <w:r>
              <w:rPr>
                <w:rFonts w:hint="eastAsia" w:ascii="楷体" w:hAnsi="楷体" w:eastAsia="楷体" w:cs="楷体"/>
                <w:kern w:val="2"/>
                <w:sz w:val="21"/>
                <w:szCs w:val="21"/>
                <w:lang w:val="en-US" w:eastAsia="zh-CN" w:bidi="ar-SA"/>
              </w:rPr>
              <w:t>数据交易（经纪）与政府监管。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290" w:type="dxa"/>
            <w:gridSpan w:val="5"/>
            <w:shd w:val="clear" w:color="auto" w:fill="D0CECE" w:themeFill="background2" w:themeFillShade="E6"/>
          </w:tcPr>
          <w:p>
            <w:pPr>
              <w:spacing w:line="276" w:lineRule="auto"/>
              <w:rPr>
                <w:rFonts w:ascii="Garamond" w:hAnsi="Garamond" w:eastAsia="宋体"/>
                <w:b/>
                <w:bCs/>
              </w:rPr>
            </w:pPr>
            <w:r>
              <w:rPr>
                <w:rFonts w:hint="eastAsia" w:ascii="黑体" w:hAnsi="黑体" w:eastAsia="黑体" w:cs="黑体"/>
                <w:b/>
                <w:bCs/>
                <w:color w:val="000000"/>
                <w:sz w:val="24"/>
                <w:szCs w:val="24"/>
                <w:lang w:val="en-US" w:eastAsia="zh-CN"/>
              </w:rPr>
              <w:t>方向3：数字文档管理与文档管理现代化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4" w:hRule="atLeast"/>
        </w:trPr>
        <w:tc>
          <w:tcPr>
            <w:tcW w:w="8290" w:type="dxa"/>
            <w:gridSpan w:val="5"/>
          </w:tcPr>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firstLine="422" w:firstLineChars="200"/>
              <w:jc w:val="left"/>
              <w:textAlignment w:val="auto"/>
              <w:rPr>
                <w:rFonts w:ascii="Garamond" w:hAnsi="Garamond" w:eastAsia="宋体"/>
              </w:rPr>
            </w:pPr>
            <w:r>
              <w:rPr>
                <w:rFonts w:hint="eastAsia" w:ascii="楷体" w:hAnsi="楷体" w:eastAsia="楷体" w:cs="楷体"/>
                <w:b/>
                <w:bCs/>
                <w:kern w:val="2"/>
                <w:sz w:val="21"/>
                <w:szCs w:val="21"/>
                <w:lang w:val="en-US" w:eastAsia="zh-CN" w:bidi="ar-SA"/>
              </w:rPr>
              <w:t>简介：</w:t>
            </w:r>
            <w:r>
              <w:rPr>
                <w:rFonts w:hint="eastAsia" w:ascii="楷体" w:hAnsi="楷体" w:eastAsia="楷体" w:cs="楷体"/>
                <w:kern w:val="2"/>
                <w:sz w:val="21"/>
                <w:szCs w:val="21"/>
                <w:lang w:val="en-US" w:eastAsia="zh-CN" w:bidi="ar-SA"/>
              </w:rPr>
              <w:t>人类社会发展历程反映了国家治理对文件档案实践的普遍内在需求（存证、信息查考和集体记忆），并逐步形成了一整套档案理论、方法与治理体系（实现以上需求的举措及其制度化）。本方向研究在数字化转型与数据驱动的新背景下，文档管理如何实现自身的数字化转型和治理现代化，以及如何赋能国家治理治理现代化问题。近期主要研究和关注问题：</w:t>
            </w:r>
            <w:r>
              <w:rPr>
                <w:rFonts w:hint="default" w:ascii="楷体" w:hAnsi="楷体" w:eastAsia="楷体" w:cs="楷体"/>
                <w:kern w:val="2"/>
                <w:sz w:val="21"/>
                <w:szCs w:val="21"/>
                <w:lang w:val="en-US" w:eastAsia="zh-CN" w:bidi="ar-SA"/>
              </w:rPr>
              <w:t>①</w:t>
            </w:r>
            <w:r>
              <w:rPr>
                <w:rFonts w:hint="eastAsia" w:ascii="楷体" w:hAnsi="楷体" w:eastAsia="楷体" w:cs="楷体"/>
                <w:kern w:val="2"/>
                <w:sz w:val="21"/>
                <w:szCs w:val="21"/>
                <w:lang w:val="en-US" w:eastAsia="zh-CN" w:bidi="ar-SA"/>
              </w:rPr>
              <w:t>数字（数据）档案管理；</w:t>
            </w:r>
            <w:r>
              <w:rPr>
                <w:rFonts w:hint="default" w:ascii="楷体" w:hAnsi="楷体" w:eastAsia="楷体" w:cs="楷体"/>
                <w:kern w:val="2"/>
                <w:sz w:val="21"/>
                <w:szCs w:val="21"/>
                <w:lang w:val="en-US" w:eastAsia="zh-CN" w:bidi="ar-SA"/>
              </w:rPr>
              <w:t>②</w:t>
            </w:r>
            <w:r>
              <w:rPr>
                <w:rFonts w:hint="eastAsia" w:ascii="楷体" w:hAnsi="楷体" w:eastAsia="楷体" w:cs="楷体"/>
                <w:kern w:val="2"/>
                <w:sz w:val="21"/>
                <w:szCs w:val="21"/>
                <w:lang w:val="en-US" w:eastAsia="zh-CN" w:bidi="ar-SA"/>
              </w:rPr>
              <w:t>数字赋能与数据驱动的文档治理现代化体系构建；</w:t>
            </w:r>
            <w:r>
              <w:rPr>
                <w:rFonts w:hint="default" w:ascii="楷体" w:hAnsi="楷体" w:eastAsia="楷体" w:cs="楷体"/>
                <w:kern w:val="2"/>
                <w:sz w:val="21"/>
                <w:szCs w:val="21"/>
                <w:lang w:val="en-US" w:eastAsia="zh-CN" w:bidi="ar-SA"/>
              </w:rPr>
              <w:t>③</w:t>
            </w:r>
            <w:r>
              <w:rPr>
                <w:rFonts w:hint="eastAsia" w:ascii="楷体" w:hAnsi="楷体" w:eastAsia="楷体" w:cs="楷体"/>
                <w:kern w:val="2"/>
                <w:sz w:val="21"/>
                <w:szCs w:val="21"/>
                <w:lang w:val="en-US" w:eastAsia="zh-CN" w:bidi="ar-SA"/>
              </w:rPr>
              <w:t>文档管理实践与理论对数据治理的参考价值及创新应用。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290" w:type="dxa"/>
            <w:gridSpan w:val="5"/>
          </w:tcPr>
          <w:p>
            <w:pPr>
              <w:spacing w:line="360" w:lineRule="auto"/>
              <w:jc w:val="center"/>
              <w:rPr>
                <w:rFonts w:ascii="Garamond" w:hAnsi="Garamond" w:eastAsia="宋体"/>
                <w:b/>
                <w:bCs/>
              </w:rPr>
            </w:pPr>
            <w:r>
              <w:rPr>
                <w:rFonts w:hint="eastAsia" w:ascii="Garamond" w:hAnsi="Garamond" w:eastAsia="宋体"/>
                <w:b/>
                <w:bCs/>
              </w:rPr>
              <w:t>对MPA学生的要求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8290" w:type="dxa"/>
            <w:gridSpan w:val="5"/>
            <w:tcBorders>
              <w:bottom w:val="single" w:color="1F3864" w:themeColor="accent1" w:themeShade="80" w:sz="8" w:space="0"/>
            </w:tcBorders>
          </w:tcPr>
          <w:p>
            <w:pPr>
              <w:pStyle w:val="9"/>
              <w:numPr>
                <w:ilvl w:val="0"/>
                <w:numId w:val="1"/>
              </w:numPr>
              <w:ind w:firstLineChars="0"/>
              <w:rPr>
                <w:rFonts w:ascii="Garamond" w:hAnsi="Garamond" w:eastAsia="宋体"/>
              </w:rPr>
            </w:pPr>
            <w:r>
              <w:rPr>
                <w:rFonts w:hint="eastAsia" w:ascii="楷体" w:hAnsi="楷体" w:eastAsia="楷体" w:cs="楷体"/>
                <w:kern w:val="2"/>
                <w:sz w:val="21"/>
                <w:szCs w:val="21"/>
                <w:lang w:val="en-US" w:eastAsia="zh-CN" w:bidi="ar-SA"/>
              </w:rPr>
              <w:t>对数字化发展，特别是利用数字技术提升政府/社会治理的相关实践、理论和政策，对数据驱动的政府改革与创新有一定关注和兴趣。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8290" w:type="dxa"/>
            <w:gridSpan w:val="5"/>
            <w:tcBorders>
              <w:top w:val="single" w:color="1F3864" w:themeColor="accent1" w:themeShade="80" w:sz="8" w:space="0"/>
              <w:left w:val="nil"/>
              <w:bottom w:val="nil"/>
              <w:right w:val="nil"/>
            </w:tcBorders>
          </w:tcPr>
          <w:p>
            <w:pPr>
              <w:ind w:firstLine="400" w:firstLineChars="200"/>
              <w:rPr>
                <w:rFonts w:ascii="Garamond" w:hAnsi="Garamond" w:eastAsia="宋体"/>
                <w:sz w:val="20"/>
                <w:szCs w:val="22"/>
              </w:rPr>
            </w:pPr>
          </w:p>
          <w:p>
            <w:pPr>
              <w:ind w:firstLine="400" w:firstLineChars="200"/>
              <w:rPr>
                <w:rFonts w:ascii="Garamond" w:hAnsi="Garamond" w:eastAsia="宋体"/>
                <w:sz w:val="20"/>
                <w:szCs w:val="22"/>
              </w:rPr>
            </w:pPr>
            <w:r>
              <w:rPr>
                <w:rFonts w:hint="eastAsia" w:ascii="Garamond" w:hAnsi="Garamond" w:eastAsia="宋体"/>
                <w:sz w:val="20"/>
                <w:szCs w:val="22"/>
              </w:rPr>
              <w:t>本表更新时间：2</w:t>
            </w:r>
            <w:r>
              <w:rPr>
                <w:rFonts w:ascii="Garamond" w:hAnsi="Garamond" w:eastAsia="宋体"/>
                <w:sz w:val="20"/>
                <w:szCs w:val="22"/>
              </w:rPr>
              <w:t>023</w:t>
            </w:r>
            <w:r>
              <w:rPr>
                <w:rFonts w:hint="eastAsia" w:ascii="Garamond" w:hAnsi="Garamond" w:eastAsia="宋体"/>
                <w:sz w:val="20"/>
                <w:szCs w:val="22"/>
              </w:rPr>
              <w:t>年</w:t>
            </w:r>
            <w:r>
              <w:rPr>
                <w:rFonts w:ascii="Garamond" w:hAnsi="Garamond" w:eastAsia="宋体"/>
                <w:sz w:val="20"/>
                <w:szCs w:val="22"/>
              </w:rPr>
              <w:t>4</w:t>
            </w:r>
            <w:r>
              <w:rPr>
                <w:rFonts w:hint="eastAsia" w:ascii="Garamond" w:hAnsi="Garamond" w:eastAsia="宋体"/>
                <w:sz w:val="20"/>
                <w:szCs w:val="22"/>
              </w:rPr>
              <w:t>月</w:t>
            </w:r>
          </w:p>
          <w:p>
            <w:pPr>
              <w:ind w:firstLine="400" w:firstLineChars="200"/>
              <w:rPr>
                <w:rFonts w:ascii="Garamond" w:hAnsi="Garamond" w:eastAsia="宋体"/>
                <w:sz w:val="20"/>
                <w:szCs w:val="22"/>
              </w:rPr>
            </w:pPr>
            <w:r>
              <w:rPr>
                <w:rFonts w:hint="eastAsia" w:ascii="Garamond" w:hAnsi="Garamond" w:eastAsia="宋体"/>
                <w:sz w:val="20"/>
                <w:szCs w:val="22"/>
              </w:rPr>
              <w:t>本表用于MPA项目师生双向选择。有关导师的详细信息请点击浙江大学教师个人主页获取。</w:t>
            </w:r>
          </w:p>
        </w:tc>
      </w:tr>
    </w:tbl>
    <w:p>
      <w:pPr>
        <w:rPr>
          <w:rFonts w:ascii="Garamond" w:hAnsi="Garamond" w:eastAsia="宋体"/>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bold">
    <w:altName w:val="Times New Roman"/>
    <w:panose1 w:val="02020803070505020304"/>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Garamond">
    <w:altName w:val="PMingLiU-ExtB"/>
    <w:panose1 w:val="02020404030301010803"/>
    <w:charset w:val="00"/>
    <w:family w:val="roman"/>
    <w:pitch w:val="default"/>
    <w:sig w:usb0="00000000" w:usb1="00000000" w:usb2="00000000" w:usb3="00000000" w:csb0="0000009F"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0E4DA2"/>
    <w:multiLevelType w:val="multilevel"/>
    <w:tmpl w:val="340E4DA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2NmIyZTEyYWIwMzQzZmFhOWI0ZmY3ODBkNDUxY2IifQ=="/>
  </w:docVars>
  <w:rsids>
    <w:rsidRoot w:val="00000000"/>
    <w:rsid w:val="129501E7"/>
    <w:rsid w:val="1D936D51"/>
    <w:rsid w:val="32132BC3"/>
    <w:rsid w:val="3E417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4"/>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ZJU</Company>
  <Pages>1</Pages>
  <Words>967</Words>
  <Characters>1027</Characters>
  <Lines>5</Lines>
  <Paragraphs>1</Paragraphs>
  <TotalTime>9</TotalTime>
  <ScaleCrop>false</ScaleCrop>
  <LinksUpToDate>false</LinksUpToDate>
  <CharactersWithSpaces>1027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2019-10-12T01:50:00Z</dcterms:created>
  <dc:creator>Xiang Gao</dc:creator>
  <cp:lastModifiedBy>abc</cp:lastModifiedBy>
  <dcterms:modified xsi:type="dcterms:W3CDTF">2023-04-11T04:16:42Z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C8F1C04E1A2246DAA4694EF7F31E838E_12</vt:lpwstr>
  </property>
</Properties>
</file>