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992"/>
        <w:gridCol w:w="2820"/>
        <w:gridCol w:w="2073"/>
      </w:tblGrid>
      <w:tr>
        <w:tc>
          <w:tcPr>
            <w:tcW w:w="8290" w:type="dxa"/>
            <w:gridSpan w:val="5"/>
            <w:tcBorders>
              <w:top w:val="nil"/>
              <w:left w:val="nil"/>
              <w:bottom w:val="single" w:sz="8" w:space="0" w:color="1F3864" w:themeColor="accent1" w:themeShade="80"/>
              <w:right w:val="nil"/>
            </w:tcBorders>
          </w:tcPr>
          <w:p>
            <w:pPr>
              <w:spacing w:line="480" w:lineRule="auto"/>
              <w:jc w:val="center"/>
              <w:rPr>
                <w:rFonts w:ascii="Garamond" w:eastAsia="宋体" w:hAnsi="Garamond"/>
                <w:b/>
                <w:bCs/>
                <w:sz w:val="24"/>
                <w:szCs w:val="32"/>
              </w:rPr>
            </w:pP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浙江大学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MPA</w:t>
            </w:r>
            <w:r>
              <w:rPr>
                <w:rFonts w:ascii="Garamond" w:eastAsia="宋体" w:hAnsi="Garamond"/>
                <w:b/>
                <w:bCs/>
                <w:sz w:val="24"/>
                <w:szCs w:val="32"/>
              </w:rPr>
              <w:t>专业导师信息表</w:t>
            </w:r>
          </w:p>
        </w:tc>
      </w:tr>
      <w:tr>
        <w:tc>
          <w:tcPr>
            <w:tcW w:w="1129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郭继强</w:t>
            </w:r>
          </w:p>
        </w:tc>
        <w:tc>
          <w:tcPr>
            <w:tcW w:w="992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职称</w:t>
            </w:r>
          </w:p>
        </w:tc>
        <w:tc>
          <w:tcPr>
            <w:tcW w:w="2820" w:type="dxa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教授</w:t>
            </w:r>
          </w:p>
        </w:tc>
        <w:tc>
          <w:tcPr>
            <w:tcW w:w="2073" w:type="dxa"/>
            <w:vMerge w:val="restart"/>
            <w:tcBorders>
              <w:top w:val="single" w:sz="8" w:space="0" w:color="1F3864" w:themeColor="accent1" w:themeShade="80"/>
            </w:tcBorders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  <w:p>
            <w:pPr>
              <w:spacing w:line="276" w:lineRule="auto"/>
              <w:ind w:firstLineChars="100" w:firstLine="210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照片（如有）</w:t>
            </w: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性别</w:t>
            </w:r>
          </w:p>
        </w:tc>
        <w:tc>
          <w:tcPr>
            <w:tcW w:w="1276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男</w:t>
            </w:r>
          </w:p>
        </w:tc>
        <w:tc>
          <w:tcPr>
            <w:tcW w:w="992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研究所</w:t>
            </w:r>
          </w:p>
        </w:tc>
        <w:tc>
          <w:tcPr>
            <w:tcW w:w="2820" w:type="dxa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劳动保障与风险管理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1129" w:type="dxa"/>
          </w:tcPr>
          <w:p>
            <w:pPr>
              <w:spacing w:line="276" w:lineRule="auto"/>
              <w:jc w:val="distribute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电子邮箱</w:t>
            </w:r>
          </w:p>
        </w:tc>
        <w:tc>
          <w:tcPr>
            <w:tcW w:w="5088" w:type="dxa"/>
            <w:gridSpan w:val="3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j</w:t>
            </w:r>
            <w:r>
              <w:rPr>
                <w:rFonts w:ascii="Garamond" w:eastAsia="宋体" w:hAnsi="Garamond"/>
              </w:rPr>
              <w:t>iqiangguo@163.com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6217" w:type="dxa"/>
            <w:gridSpan w:val="4"/>
          </w:tcPr>
          <w:p>
            <w:pPr>
              <w:spacing w:line="276" w:lineRule="auto"/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个人主页：</w:t>
            </w:r>
            <w:r>
              <w:rPr>
                <w:rFonts w:ascii="Garamond" w:eastAsia="宋体" w:hAnsi="Garamond"/>
              </w:rPr>
              <w:t>https://person.zju.edu.cn/0088179</w:t>
            </w:r>
          </w:p>
        </w:tc>
        <w:tc>
          <w:tcPr>
            <w:tcW w:w="2073" w:type="dxa"/>
            <w:vMerge/>
          </w:tcPr>
          <w:p>
            <w:pPr>
              <w:spacing w:line="276" w:lineRule="auto"/>
              <w:rPr>
                <w:rFonts w:ascii="Garamond" w:eastAsia="宋体" w:hAnsi="Garamond"/>
              </w:rPr>
            </w:pPr>
          </w:p>
        </w:tc>
      </w:tr>
      <w:t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拟带</w:t>
            </w:r>
            <w:r>
              <w:rPr>
                <w:rFonts w:ascii="Garamond" w:eastAsia="宋体" w:hAnsi="Garamond"/>
                <w:b/>
                <w:bCs/>
              </w:rPr>
              <w:t>MPA</w:t>
            </w:r>
            <w:r>
              <w:rPr>
                <w:rFonts w:ascii="Garamond" w:eastAsia="宋体" w:hAnsi="Garamond"/>
                <w:b/>
                <w:bCs/>
              </w:rPr>
              <w:t>学生的论文选题方向</w:t>
            </w:r>
          </w:p>
        </w:tc>
      </w:tr>
      <w:tr>
        <w:trPr>
          <w:trHeight w:val="948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1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劳动就业、收入分配、社会保障问题研究</w:t>
            </w:r>
          </w:p>
        </w:tc>
      </w:tr>
      <w:tr>
        <w:trPr>
          <w:trHeight w:val="848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：重点探讨在新常态下、在大数据、人工智能背景下（新业态下）劳动与社会保障问题的新发展及其治理。</w:t>
            </w:r>
          </w:p>
        </w:tc>
      </w:tr>
      <w:tr>
        <w:trPr>
          <w:trHeight w:val="832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2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对中国经济长时间调整增长奇迹的考察和探讨。</w:t>
            </w:r>
          </w:p>
        </w:tc>
        <w:bookmarkStart w:id="0" w:name="_GoBack"/>
        <w:bookmarkEnd w:id="0"/>
      </w:tr>
      <w:tr>
        <w:trPr>
          <w:trHeight w:val="844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：对中国经济增长的再考察，希望从中能够提炼出中国的特色或者说独特性，乃至提炼出中国治理实践对世界的贡献。</w:t>
            </w:r>
          </w:p>
        </w:tc>
      </w:tr>
      <w:tr>
        <w:trPr>
          <w:trHeight w:val="984"/>
        </w:trPr>
        <w:tc>
          <w:tcPr>
            <w:tcW w:w="8290" w:type="dxa"/>
            <w:gridSpan w:val="5"/>
            <w:shd w:val="clear" w:color="auto" w:fill="D0CECE" w:themeFill="background2" w:themeFillShade="E6"/>
          </w:tcPr>
          <w:p>
            <w:pPr>
              <w:spacing w:line="276" w:lineRule="auto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/>
                <w:b/>
                <w:bCs/>
              </w:rPr>
              <w:t>选题</w:t>
            </w:r>
            <w:r>
              <w:rPr>
                <w:rFonts w:ascii="Garamond" w:eastAsia="宋体" w:hAnsi="Garamond"/>
                <w:b/>
                <w:bCs/>
              </w:rPr>
              <w:t>3</w:t>
            </w:r>
            <w:r>
              <w:rPr>
                <w:rFonts w:ascii="Garamond" w:eastAsia="宋体" w:hAnsi="Garamond"/>
                <w:b/>
                <w:bCs/>
              </w:rPr>
              <w:t>：</w:t>
            </w:r>
            <w:r>
              <w:rPr>
                <w:rFonts w:ascii="Garamond" w:eastAsia="宋体" w:hAnsi="Garamond" w:hint="eastAsia"/>
                <w:b/>
                <w:bCs/>
              </w:rPr>
              <w:t>新常态下财政税收政策的研讨。</w:t>
            </w:r>
          </w:p>
        </w:tc>
      </w:tr>
      <w:tr>
        <w:trPr>
          <w:trHeight w:val="700"/>
        </w:trPr>
        <w:tc>
          <w:tcPr>
            <w:tcW w:w="8290" w:type="dxa"/>
            <w:gridSpan w:val="5"/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/>
              </w:rPr>
              <w:t>简介</w:t>
            </w:r>
            <w:r>
              <w:rPr>
                <w:rFonts w:ascii="Garamond" w:eastAsia="宋体" w:hAnsi="Garamond" w:hint="eastAsia"/>
              </w:rPr>
              <w:t>：也可以是实证考察某一项财政税收政策的影响问题。</w:t>
            </w:r>
          </w:p>
        </w:tc>
      </w:tr>
      <w:tr>
        <w:trPr>
          <w:trHeight w:val="555"/>
        </w:trPr>
        <w:tc>
          <w:tcPr>
            <w:tcW w:w="8290" w:type="dxa"/>
            <w:gridSpan w:val="5"/>
          </w:tcPr>
          <w:p>
            <w:pPr>
              <w:spacing w:line="360" w:lineRule="auto"/>
              <w:jc w:val="center"/>
              <w:rPr>
                <w:rFonts w:ascii="Garamond" w:eastAsia="宋体" w:hAnsi="Garamond"/>
                <w:b/>
                <w:bCs/>
              </w:rPr>
            </w:pPr>
            <w:r>
              <w:rPr>
                <w:rFonts w:ascii="Garamond" w:eastAsia="宋体" w:hAnsi="Garamond" w:hint="eastAsia"/>
                <w:b/>
                <w:bCs/>
              </w:rPr>
              <w:t>对</w:t>
            </w:r>
            <w:r>
              <w:rPr>
                <w:rFonts w:ascii="Garamond" w:eastAsia="宋体" w:hAnsi="Garamond" w:hint="eastAsia"/>
                <w:b/>
                <w:bCs/>
              </w:rPr>
              <w:t>MPA</w:t>
            </w:r>
            <w:r>
              <w:rPr>
                <w:rFonts w:ascii="Garamond" w:eastAsia="宋体" w:hAnsi="Garamond" w:hint="eastAsia"/>
                <w:b/>
                <w:bCs/>
              </w:rPr>
              <w:t>学生的要求</w:t>
            </w:r>
          </w:p>
        </w:tc>
      </w:tr>
      <w:tr>
        <w:trPr>
          <w:trHeight w:val="1271"/>
        </w:trPr>
        <w:tc>
          <w:tcPr>
            <w:tcW w:w="8290" w:type="dxa"/>
            <w:gridSpan w:val="5"/>
            <w:tcBorders>
              <w:bottom w:val="single" w:sz="8" w:space="0" w:color="1F3864" w:themeColor="accent1" w:themeShade="80"/>
            </w:tcBorders>
          </w:tcPr>
          <w:p>
            <w:pPr>
              <w:rPr>
                <w:rFonts w:ascii="Garamond" w:eastAsia="宋体" w:hAnsi="Garamond"/>
              </w:rPr>
            </w:pPr>
            <w:r>
              <w:rPr>
                <w:rFonts w:ascii="Garamond" w:eastAsia="宋体" w:hAnsi="Garamond" w:hint="eastAsia"/>
              </w:rPr>
              <w:t>希望所指导的同学确实是想花力气认认真真做一篇有新意的</w:t>
            </w:r>
            <w:r>
              <w:rPr>
                <w:rFonts w:ascii="Garamond" w:eastAsia="宋体" w:hAnsi="Garamond" w:hint="eastAsia"/>
              </w:rPr>
              <w:t>MPA</w:t>
            </w:r>
            <w:r>
              <w:rPr>
                <w:rFonts w:ascii="Garamond" w:eastAsia="宋体" w:hAnsi="Garamond" w:hint="eastAsia"/>
              </w:rPr>
              <w:t>毕业论文，而且也会以这样的要求去对待同学的论文。</w:t>
            </w:r>
          </w:p>
        </w:tc>
      </w:tr>
      <w:tr>
        <w:tc>
          <w:tcPr>
            <w:tcW w:w="8290" w:type="dxa"/>
            <w:gridSpan w:val="5"/>
            <w:tcBorders>
              <w:top w:val="single" w:sz="8" w:space="0" w:color="1F3864" w:themeColor="accent1" w:themeShade="80"/>
              <w:left w:val="nil"/>
              <w:bottom w:val="nil"/>
              <w:right w:val="nil"/>
            </w:tcBorders>
          </w:tcPr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本表更新时间：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2</w:t>
            </w:r>
            <w:r>
              <w:rPr>
                <w:rFonts w:ascii="Garamond" w:eastAsia="宋体" w:hAnsi="Garamond"/>
                <w:sz w:val="20"/>
                <w:szCs w:val="22"/>
              </w:rPr>
              <w:t>023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年</w:t>
            </w:r>
            <w:r>
              <w:rPr>
                <w:rFonts w:ascii="Garamond" w:eastAsia="宋体" w:hAnsi="Garamond"/>
                <w:sz w:val="20"/>
                <w:szCs w:val="22"/>
              </w:rPr>
              <w:t>4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月</w:t>
            </w:r>
          </w:p>
          <w:p>
            <w:pPr>
              <w:ind w:firstLineChars="200" w:firstLine="400"/>
              <w:rPr>
                <w:rFonts w:ascii="Garamond" w:eastAsia="宋体" w:hAnsi="Garamond"/>
                <w:sz w:val="20"/>
                <w:szCs w:val="22"/>
              </w:rPr>
            </w:pPr>
            <w:r>
              <w:rPr>
                <w:rFonts w:ascii="Garamond" w:eastAsia="宋体" w:hAnsi="Garamond" w:hint="eastAsia"/>
                <w:sz w:val="20"/>
                <w:szCs w:val="22"/>
              </w:rPr>
              <w:t>本表用于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MPA</w:t>
            </w:r>
            <w:r>
              <w:rPr>
                <w:rFonts w:ascii="Garamond" w:eastAsia="宋体" w:hAnsi="Garamond" w:hint="eastAsia"/>
                <w:sz w:val="20"/>
                <w:szCs w:val="22"/>
              </w:rPr>
              <w:t>项目师生双向选择。有关导师的详细信息请点击浙江大学教师个人主页获取。</w:t>
            </w:r>
          </w:p>
        </w:tc>
      </w:tr>
    </w:tbl>
    <w:p>
      <w:pPr>
        <w:rPr>
          <w:rFonts w:ascii="Garamond" w:eastAsia="宋体" w:hAnsi="Garamond"/>
        </w:rPr>
      </w:pPr>
    </w:p>
    <w:sectPr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2CAB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D4394A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2345746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BA47221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0896667"/>
    <w:multiLevelType w:val="hybridMultilevel"/>
    <w:tmpl w:val="C3F04930"/>
    <w:lvl w:ilvl="0" w:tplc="6F22EB6A">
      <w:start w:val="1"/>
      <w:numFmt w:val="japaneseCounting"/>
      <w:lvlText w:val="第%1，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281E0-81B8-8E4A-B3BE-C6722DB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404</Characters>
  <Application>Microsoft Office Word</Application>
  <DocSecurity>0</DocSecurity>
  <Lines>3</Lines>
  <Paragraphs>1</Paragraphs>
  <ScaleCrop>false</ScaleCrop>
  <Company>ZJU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Gao</dc:creator>
  <cp:keywords/>
  <dc:description/>
  <cp:lastModifiedBy>DELL</cp:lastModifiedBy>
  <cp:revision>31</cp:revision>
  <dcterms:created xsi:type="dcterms:W3CDTF">2019-10-12T01:50:00Z</dcterms:created>
  <dcterms:modified xsi:type="dcterms:W3CDTF">2023-04-26T01:31:00Z</dcterms:modified>
</cp:coreProperties>
</file>