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7"/>
        <w:tblW w:w="0" w:type="auto"/>
        <w:tblLayout w:type="fixed"/>
        <w:tblLook w:val="04A0" w:firstRow="1" w:lastRow="0" w:firstColumn="1" w:lastColumn="0" w:noHBand="0" w:noVBand="1"/>
      </w:tblPr>
      <w:tblGrid>
        <w:gridCol w:w="1129"/>
        <w:gridCol w:w="1276"/>
        <w:gridCol w:w="992"/>
        <w:gridCol w:w="2882"/>
        <w:gridCol w:w="2114"/>
      </w:tblGrid>
      <w:tr w:rsidR="00444412">
        <w:tc>
          <w:tcPr>
            <w:tcW w:w="8393" w:type="dxa"/>
            <w:gridSpan w:val="5"/>
            <w:tcBorders>
              <w:top w:val="nil"/>
              <w:left w:val="nil"/>
              <w:bottom w:val="single" w:sz="8" w:space="0" w:color="1F3864" w:themeColor="accent1" w:themeShade="80"/>
              <w:right w:val="nil"/>
            </w:tcBorders>
          </w:tcPr>
          <w:p w:rsidR="00444412" w:rsidRDefault="00CA2872">
            <w:pPr>
              <w:spacing w:line="480" w:lineRule="auto"/>
              <w:jc w:val="center"/>
              <w:rPr>
                <w:rFonts w:ascii="Times New Roman Regular" w:eastAsia="宋体" w:hAnsi="Times New Roman Regular" w:cs="Times New Roman Regular"/>
                <w:b/>
                <w:bCs/>
                <w:sz w:val="24"/>
                <w:szCs w:val="32"/>
              </w:rPr>
            </w:pPr>
            <w:r>
              <w:rPr>
                <w:rFonts w:ascii="Times New Roman Regular" w:eastAsia="宋体" w:hAnsi="Times New Roman Regular" w:cs="Times New Roman Regular"/>
                <w:b/>
                <w:bCs/>
                <w:sz w:val="24"/>
                <w:szCs w:val="32"/>
              </w:rPr>
              <w:t>浙江大学</w:t>
            </w:r>
            <w:r>
              <w:rPr>
                <w:rFonts w:ascii="Times New Roman Regular" w:eastAsia="宋体" w:hAnsi="Times New Roman Regular" w:cs="Times New Roman Regular"/>
                <w:b/>
                <w:bCs/>
                <w:sz w:val="24"/>
                <w:szCs w:val="32"/>
              </w:rPr>
              <w:t>MPA</w:t>
            </w:r>
            <w:r>
              <w:rPr>
                <w:rFonts w:ascii="Times New Roman Regular" w:eastAsia="宋体" w:hAnsi="Times New Roman Regular" w:cs="Times New Roman Regular"/>
                <w:b/>
                <w:bCs/>
                <w:sz w:val="24"/>
                <w:szCs w:val="32"/>
              </w:rPr>
              <w:t>专业导师信息表</w:t>
            </w:r>
          </w:p>
        </w:tc>
      </w:tr>
      <w:tr w:rsidR="00444412">
        <w:trPr>
          <w:trHeight w:val="624"/>
        </w:trPr>
        <w:tc>
          <w:tcPr>
            <w:tcW w:w="1129" w:type="dxa"/>
            <w:tcBorders>
              <w:top w:val="single" w:sz="8" w:space="0" w:color="1F3864" w:themeColor="accent1" w:themeShade="80"/>
            </w:tcBorders>
            <w:vAlign w:val="center"/>
          </w:tcPr>
          <w:p w:rsidR="00444412" w:rsidRDefault="00CA2872">
            <w:pPr>
              <w:spacing w:line="276" w:lineRule="auto"/>
              <w:jc w:val="center"/>
              <w:rPr>
                <w:rFonts w:ascii="Times New Roman Regular" w:eastAsia="宋体" w:hAnsi="Times New Roman Regular" w:cs="Times New Roman Regular"/>
              </w:rPr>
            </w:pPr>
            <w:r>
              <w:rPr>
                <w:rFonts w:ascii="Times New Roman Regular" w:eastAsia="宋体" w:hAnsi="Times New Roman Regular" w:cs="Times New Roman Regular"/>
              </w:rPr>
              <w:t>姓名</w:t>
            </w:r>
          </w:p>
        </w:tc>
        <w:tc>
          <w:tcPr>
            <w:tcW w:w="1276" w:type="dxa"/>
            <w:tcBorders>
              <w:top w:val="single" w:sz="8" w:space="0" w:color="1F3864" w:themeColor="accent1" w:themeShade="80"/>
            </w:tcBorders>
            <w:vAlign w:val="center"/>
          </w:tcPr>
          <w:p w:rsidR="00444412" w:rsidRDefault="00CA2872">
            <w:pPr>
              <w:spacing w:line="276" w:lineRule="auto"/>
              <w:jc w:val="center"/>
              <w:rPr>
                <w:rFonts w:ascii="Times New Roman Regular" w:eastAsia="宋体" w:hAnsi="Times New Roman Regular" w:cs="Times New Roman Regular"/>
              </w:rPr>
            </w:pPr>
            <w:r>
              <w:rPr>
                <w:rFonts w:ascii="Times New Roman Regular" w:eastAsia="宋体" w:hAnsi="Times New Roman Regular" w:cs="Times New Roman Regular"/>
              </w:rPr>
              <w:t>沈黎勇</w:t>
            </w:r>
          </w:p>
        </w:tc>
        <w:tc>
          <w:tcPr>
            <w:tcW w:w="992" w:type="dxa"/>
            <w:tcBorders>
              <w:top w:val="single" w:sz="8" w:space="0" w:color="1F3864" w:themeColor="accent1" w:themeShade="80"/>
            </w:tcBorders>
            <w:vAlign w:val="center"/>
          </w:tcPr>
          <w:p w:rsidR="00444412" w:rsidRDefault="00CA2872">
            <w:pPr>
              <w:spacing w:line="276" w:lineRule="auto"/>
              <w:jc w:val="center"/>
              <w:rPr>
                <w:rFonts w:ascii="Times New Roman Regular" w:eastAsia="宋体" w:hAnsi="Times New Roman Regular" w:cs="Times New Roman Regular"/>
              </w:rPr>
            </w:pPr>
            <w:r>
              <w:rPr>
                <w:rFonts w:ascii="Times New Roman Regular" w:eastAsia="宋体" w:hAnsi="Times New Roman Regular" w:cs="Times New Roman Regular"/>
              </w:rPr>
              <w:t>职称</w:t>
            </w:r>
          </w:p>
        </w:tc>
        <w:tc>
          <w:tcPr>
            <w:tcW w:w="2882" w:type="dxa"/>
            <w:tcBorders>
              <w:top w:val="single" w:sz="8" w:space="0" w:color="1F3864" w:themeColor="accent1" w:themeShade="80"/>
            </w:tcBorders>
            <w:vAlign w:val="center"/>
          </w:tcPr>
          <w:p w:rsidR="00444412" w:rsidRDefault="00CA2872">
            <w:pPr>
              <w:spacing w:line="276" w:lineRule="auto"/>
              <w:jc w:val="center"/>
              <w:rPr>
                <w:rFonts w:ascii="Times New Roman Regular" w:eastAsia="宋体" w:hAnsi="Times New Roman Regular" w:cs="Times New Roman Regular"/>
              </w:rPr>
            </w:pPr>
            <w:r>
              <w:rPr>
                <w:rFonts w:ascii="Times New Roman Regular" w:eastAsia="宋体" w:hAnsi="Times New Roman Regular" w:cs="Times New Roman Regular"/>
              </w:rPr>
              <w:t>副教授</w:t>
            </w:r>
          </w:p>
        </w:tc>
        <w:tc>
          <w:tcPr>
            <w:tcW w:w="2114" w:type="dxa"/>
            <w:vMerge w:val="restart"/>
            <w:tcBorders>
              <w:top w:val="single" w:sz="8" w:space="0" w:color="1F3864" w:themeColor="accent1" w:themeShade="80"/>
            </w:tcBorders>
          </w:tcPr>
          <w:p w:rsidR="00444412" w:rsidRDefault="00CA2872">
            <w:pPr>
              <w:spacing w:line="276" w:lineRule="auto"/>
              <w:jc w:val="center"/>
              <w:rPr>
                <w:rFonts w:ascii="Times New Roman Regular" w:eastAsia="宋体" w:hAnsi="Times New Roman Regular" w:cs="Times New Roman Regular"/>
              </w:rPr>
            </w:pPr>
            <w:r>
              <w:rPr>
                <w:rFonts w:ascii="Times New Roman Regular" w:hAnsi="Times New Roman Regular" w:cs="Times New Roman Regular"/>
                <w:noProof/>
              </w:rPr>
              <w:drawing>
                <wp:inline distT="0" distB="0" distL="114300" distR="114300">
                  <wp:extent cx="1226820" cy="1533525"/>
                  <wp:effectExtent l="0" t="0" r="17780" b="158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1226820" cy="1533525"/>
                          </a:xfrm>
                          <a:prstGeom prst="rect">
                            <a:avLst/>
                          </a:prstGeom>
                          <a:noFill/>
                          <a:ln>
                            <a:noFill/>
                          </a:ln>
                        </pic:spPr>
                      </pic:pic>
                    </a:graphicData>
                  </a:graphic>
                </wp:inline>
              </w:drawing>
            </w:r>
          </w:p>
        </w:tc>
      </w:tr>
      <w:tr w:rsidR="00444412">
        <w:trPr>
          <w:trHeight w:val="624"/>
        </w:trPr>
        <w:tc>
          <w:tcPr>
            <w:tcW w:w="1129" w:type="dxa"/>
            <w:vAlign w:val="center"/>
          </w:tcPr>
          <w:p w:rsidR="00444412" w:rsidRDefault="00CA2872">
            <w:pPr>
              <w:spacing w:line="276" w:lineRule="auto"/>
              <w:jc w:val="center"/>
              <w:rPr>
                <w:rFonts w:ascii="Times New Roman Regular" w:eastAsia="宋体" w:hAnsi="Times New Roman Regular" w:cs="Times New Roman Regular"/>
              </w:rPr>
            </w:pPr>
            <w:r>
              <w:rPr>
                <w:rFonts w:ascii="Times New Roman Regular" w:eastAsia="宋体" w:hAnsi="Times New Roman Regular" w:cs="Times New Roman Regular"/>
              </w:rPr>
              <w:t>性别</w:t>
            </w:r>
          </w:p>
        </w:tc>
        <w:tc>
          <w:tcPr>
            <w:tcW w:w="1276" w:type="dxa"/>
            <w:vAlign w:val="center"/>
          </w:tcPr>
          <w:p w:rsidR="00444412" w:rsidRDefault="00CA2872">
            <w:pPr>
              <w:spacing w:line="276" w:lineRule="auto"/>
              <w:jc w:val="center"/>
              <w:rPr>
                <w:rFonts w:ascii="Times New Roman Regular" w:eastAsia="宋体" w:hAnsi="Times New Roman Regular" w:cs="Times New Roman Regular"/>
              </w:rPr>
            </w:pPr>
            <w:r>
              <w:rPr>
                <w:rFonts w:ascii="Times New Roman Regular" w:eastAsia="宋体" w:hAnsi="Times New Roman Regular" w:cs="Times New Roman Regular"/>
              </w:rPr>
              <w:t>男</w:t>
            </w:r>
          </w:p>
        </w:tc>
        <w:tc>
          <w:tcPr>
            <w:tcW w:w="992" w:type="dxa"/>
            <w:vAlign w:val="center"/>
          </w:tcPr>
          <w:p w:rsidR="00444412" w:rsidRDefault="00CA2872">
            <w:pPr>
              <w:spacing w:line="276" w:lineRule="auto"/>
              <w:jc w:val="center"/>
              <w:rPr>
                <w:rFonts w:ascii="Times New Roman Regular" w:eastAsia="宋体" w:hAnsi="Times New Roman Regular" w:cs="Times New Roman Regular"/>
              </w:rPr>
            </w:pPr>
            <w:r>
              <w:rPr>
                <w:rFonts w:ascii="Times New Roman Regular" w:eastAsia="宋体" w:hAnsi="Times New Roman Regular" w:cs="Times New Roman Regular"/>
              </w:rPr>
              <w:t>研究所</w:t>
            </w:r>
          </w:p>
        </w:tc>
        <w:tc>
          <w:tcPr>
            <w:tcW w:w="2882" w:type="dxa"/>
            <w:vAlign w:val="center"/>
          </w:tcPr>
          <w:p w:rsidR="00444412" w:rsidRDefault="00CA2872">
            <w:pPr>
              <w:spacing w:line="276" w:lineRule="auto"/>
              <w:jc w:val="center"/>
              <w:rPr>
                <w:rFonts w:ascii="Times New Roman Regular" w:eastAsia="宋体" w:hAnsi="Times New Roman Regular" w:cs="Times New Roman Regular"/>
              </w:rPr>
            </w:pPr>
            <w:r>
              <w:rPr>
                <w:rFonts w:ascii="Times New Roman Regular" w:eastAsia="宋体" w:hAnsi="Times New Roman Regular" w:cs="Times New Roman Regular" w:hint="eastAsia"/>
              </w:rPr>
              <w:t>学院党委</w:t>
            </w:r>
          </w:p>
        </w:tc>
        <w:tc>
          <w:tcPr>
            <w:tcW w:w="2114" w:type="dxa"/>
            <w:vMerge/>
          </w:tcPr>
          <w:p w:rsidR="00444412" w:rsidRDefault="00444412">
            <w:pPr>
              <w:spacing w:line="276" w:lineRule="auto"/>
              <w:rPr>
                <w:rFonts w:ascii="Times New Roman Regular" w:eastAsia="宋体" w:hAnsi="Times New Roman Regular" w:cs="Times New Roman Regular"/>
              </w:rPr>
            </w:pPr>
          </w:p>
        </w:tc>
      </w:tr>
      <w:tr w:rsidR="00444412">
        <w:trPr>
          <w:trHeight w:val="624"/>
        </w:trPr>
        <w:tc>
          <w:tcPr>
            <w:tcW w:w="1129" w:type="dxa"/>
            <w:vAlign w:val="center"/>
          </w:tcPr>
          <w:p w:rsidR="00444412" w:rsidRDefault="00CA2872">
            <w:pPr>
              <w:spacing w:line="276" w:lineRule="auto"/>
              <w:jc w:val="center"/>
              <w:rPr>
                <w:rFonts w:ascii="Times New Roman Regular" w:eastAsia="宋体" w:hAnsi="Times New Roman Regular" w:cs="Times New Roman Regular"/>
              </w:rPr>
            </w:pPr>
            <w:r>
              <w:rPr>
                <w:rFonts w:ascii="Times New Roman Regular" w:eastAsia="宋体" w:hAnsi="Times New Roman Regular" w:cs="Times New Roman Regular"/>
              </w:rPr>
              <w:t>电子邮箱</w:t>
            </w:r>
          </w:p>
        </w:tc>
        <w:tc>
          <w:tcPr>
            <w:tcW w:w="5150" w:type="dxa"/>
            <w:gridSpan w:val="3"/>
            <w:vAlign w:val="center"/>
          </w:tcPr>
          <w:p w:rsidR="00444412" w:rsidRDefault="00CA2872">
            <w:pPr>
              <w:spacing w:line="276" w:lineRule="auto"/>
              <w:jc w:val="center"/>
              <w:rPr>
                <w:rFonts w:ascii="Times New Roman Regular" w:eastAsia="宋体" w:hAnsi="Times New Roman Regular" w:cs="Times New Roman Regular"/>
              </w:rPr>
            </w:pPr>
            <w:r>
              <w:rPr>
                <w:rFonts w:ascii="Times New Roman Regular" w:eastAsia="宋体" w:hAnsi="Times New Roman Regular" w:cs="Times New Roman Regular"/>
              </w:rPr>
              <w:t>sly@zju.edu.cn</w:t>
            </w:r>
          </w:p>
        </w:tc>
        <w:tc>
          <w:tcPr>
            <w:tcW w:w="2114" w:type="dxa"/>
            <w:vMerge/>
          </w:tcPr>
          <w:p w:rsidR="00444412" w:rsidRDefault="00444412">
            <w:pPr>
              <w:spacing w:line="276" w:lineRule="auto"/>
              <w:rPr>
                <w:rFonts w:ascii="Times New Roman Regular" w:eastAsia="宋体" w:hAnsi="Times New Roman Regular" w:cs="Times New Roman Regular"/>
              </w:rPr>
            </w:pPr>
          </w:p>
        </w:tc>
      </w:tr>
      <w:tr w:rsidR="00444412">
        <w:trPr>
          <w:trHeight w:val="90"/>
        </w:trPr>
        <w:tc>
          <w:tcPr>
            <w:tcW w:w="6279" w:type="dxa"/>
            <w:gridSpan w:val="4"/>
            <w:vAlign w:val="center"/>
          </w:tcPr>
          <w:p w:rsidR="00444412" w:rsidRDefault="00CA2872">
            <w:pPr>
              <w:spacing w:line="276" w:lineRule="auto"/>
              <w:jc w:val="center"/>
              <w:rPr>
                <w:rFonts w:ascii="Times New Roman Regular" w:eastAsia="宋体" w:hAnsi="Times New Roman Regular" w:cs="Times New Roman Regular"/>
                <w:b/>
              </w:rPr>
            </w:pPr>
            <w:r>
              <w:rPr>
                <w:rFonts w:ascii="Times New Roman Regular" w:eastAsia="宋体" w:hAnsi="Times New Roman Regular" w:cs="Times New Roman Regular"/>
                <w:b/>
              </w:rPr>
              <w:t>个人主页：</w:t>
            </w:r>
          </w:p>
        </w:tc>
        <w:tc>
          <w:tcPr>
            <w:tcW w:w="2114" w:type="dxa"/>
            <w:vMerge/>
          </w:tcPr>
          <w:p w:rsidR="00444412" w:rsidRDefault="00444412">
            <w:pPr>
              <w:spacing w:line="276" w:lineRule="auto"/>
              <w:rPr>
                <w:rFonts w:ascii="Times New Roman Regular" w:eastAsia="宋体" w:hAnsi="Times New Roman Regular" w:cs="Times New Roman Regular"/>
              </w:rPr>
            </w:pPr>
          </w:p>
        </w:tc>
      </w:tr>
      <w:tr w:rsidR="00444412">
        <w:trPr>
          <w:trHeight w:val="624"/>
        </w:trPr>
        <w:tc>
          <w:tcPr>
            <w:tcW w:w="8393" w:type="dxa"/>
            <w:gridSpan w:val="5"/>
            <w:vAlign w:val="center"/>
          </w:tcPr>
          <w:p w:rsidR="00444412" w:rsidRDefault="00CA2872">
            <w:pPr>
              <w:spacing w:line="360" w:lineRule="auto"/>
              <w:jc w:val="center"/>
              <w:rPr>
                <w:rFonts w:ascii="Times New Roman Regular" w:eastAsia="宋体" w:hAnsi="Times New Roman Regular" w:cs="Times New Roman Regular"/>
                <w:b/>
                <w:bCs/>
              </w:rPr>
            </w:pPr>
            <w:r>
              <w:rPr>
                <w:rFonts w:ascii="Times New Roman Regular" w:eastAsia="宋体" w:hAnsi="Times New Roman Regular" w:cs="Times New Roman Regular"/>
                <w:b/>
                <w:bCs/>
              </w:rPr>
              <w:t>拟带</w:t>
            </w:r>
            <w:r>
              <w:rPr>
                <w:rFonts w:ascii="Times New Roman Regular" w:eastAsia="宋体" w:hAnsi="Times New Roman Regular" w:cs="Times New Roman Regular"/>
                <w:b/>
                <w:bCs/>
              </w:rPr>
              <w:t>MPA</w:t>
            </w:r>
            <w:r>
              <w:rPr>
                <w:rFonts w:ascii="Times New Roman Regular" w:eastAsia="宋体" w:hAnsi="Times New Roman Regular" w:cs="Times New Roman Regular"/>
                <w:b/>
                <w:bCs/>
              </w:rPr>
              <w:t>学生的论文选题方向</w:t>
            </w:r>
          </w:p>
        </w:tc>
      </w:tr>
      <w:tr w:rsidR="00444412">
        <w:trPr>
          <w:trHeight w:val="986"/>
        </w:trPr>
        <w:tc>
          <w:tcPr>
            <w:tcW w:w="8393" w:type="dxa"/>
            <w:gridSpan w:val="5"/>
            <w:shd w:val="clear" w:color="auto" w:fill="D0CECE" w:themeFill="background2" w:themeFillShade="E6"/>
            <w:vAlign w:val="center"/>
          </w:tcPr>
          <w:p w:rsidR="00444412" w:rsidRDefault="00CA2872">
            <w:pPr>
              <w:spacing w:line="276" w:lineRule="auto"/>
              <w:rPr>
                <w:rFonts w:ascii="Times New Roman Regular" w:eastAsia="宋体" w:hAnsi="Times New Roman Regular" w:cs="Times New Roman Regular"/>
                <w:b/>
                <w:bCs/>
              </w:rPr>
            </w:pPr>
            <w:r>
              <w:rPr>
                <w:rFonts w:ascii="Times New Roman Regular" w:eastAsia="宋体" w:hAnsi="Times New Roman Regular" w:cs="Times New Roman Regular"/>
                <w:b/>
                <w:bCs/>
              </w:rPr>
              <w:t>选题</w:t>
            </w:r>
            <w:r>
              <w:rPr>
                <w:rFonts w:ascii="Times New Roman Regular" w:eastAsia="宋体" w:hAnsi="Times New Roman Regular" w:cs="Times New Roman Regular"/>
                <w:b/>
                <w:bCs/>
              </w:rPr>
              <w:t>1</w:t>
            </w:r>
            <w:r>
              <w:rPr>
                <w:rFonts w:ascii="Times New Roman Regular" w:eastAsia="宋体" w:hAnsi="Times New Roman Regular" w:cs="Times New Roman Regular"/>
                <w:b/>
                <w:bCs/>
              </w:rPr>
              <w:t>：</w:t>
            </w:r>
            <w:r>
              <w:rPr>
                <w:rFonts w:ascii="Times New Roman Regular" w:eastAsia="宋体" w:hAnsi="Times New Roman Regular" w:cs="Times New Roman Regular"/>
                <w:b/>
                <w:bCs/>
              </w:rPr>
              <w:t xml:space="preserve"> </w:t>
            </w:r>
            <w:r>
              <w:rPr>
                <w:rFonts w:ascii="Times New Roman Regular" w:eastAsia="宋体" w:hAnsi="Times New Roman Regular" w:cs="Times New Roman Regular"/>
                <w:b/>
                <w:bCs/>
              </w:rPr>
              <w:t>高等教育管理</w:t>
            </w:r>
          </w:p>
        </w:tc>
      </w:tr>
      <w:tr w:rsidR="00444412">
        <w:trPr>
          <w:trHeight w:val="848"/>
        </w:trPr>
        <w:tc>
          <w:tcPr>
            <w:tcW w:w="8393" w:type="dxa"/>
            <w:gridSpan w:val="5"/>
          </w:tcPr>
          <w:p w:rsidR="00444412" w:rsidRDefault="00CA2872">
            <w:pPr>
              <w:ind w:firstLineChars="200" w:firstLine="420"/>
              <w:rPr>
                <w:rFonts w:ascii="Times New Roman Regular" w:eastAsia="宋体" w:hAnsi="Times New Roman Regular" w:cs="Times New Roman Regular"/>
              </w:rPr>
            </w:pPr>
            <w:r>
              <w:rPr>
                <w:rFonts w:ascii="Times New Roman Regular" w:eastAsia="宋体" w:hAnsi="Times New Roman Regular" w:cs="Times New Roman Regular"/>
              </w:rPr>
              <w:t>高等教育是科技创新</w:t>
            </w:r>
            <w:r>
              <w:rPr>
                <w:rFonts w:ascii="Times New Roman Regular" w:eastAsia="宋体" w:hAnsi="Times New Roman Regular" w:cs="Times New Roman Regular" w:hint="eastAsia"/>
              </w:rPr>
              <w:t>和</w:t>
            </w:r>
            <w:r>
              <w:rPr>
                <w:rFonts w:ascii="Times New Roman Regular" w:eastAsia="宋体" w:hAnsi="Times New Roman Regular" w:cs="Times New Roman Regular"/>
              </w:rPr>
              <w:t>人才培养的</w:t>
            </w:r>
            <w:r>
              <w:rPr>
                <w:rFonts w:ascii="Times New Roman Regular" w:eastAsia="宋体" w:hAnsi="Times New Roman Regular" w:cs="Times New Roman Regular" w:hint="eastAsia"/>
              </w:rPr>
              <w:t>主阵地</w:t>
            </w:r>
            <w:r>
              <w:rPr>
                <w:rFonts w:ascii="Times New Roman Regular" w:eastAsia="宋体" w:hAnsi="Times New Roman Regular" w:cs="Times New Roman Regular"/>
              </w:rPr>
              <w:t>，</w:t>
            </w:r>
            <w:r>
              <w:rPr>
                <w:rFonts w:ascii="Times New Roman Regular" w:eastAsia="宋体" w:hAnsi="Times New Roman Regular" w:cs="Times New Roman Regular" w:hint="eastAsia"/>
              </w:rPr>
              <w:t>系统深化高等教育的育人模式、管理机制、保障体系等改革，是加快建设教育强国的应有之义</w:t>
            </w:r>
            <w:r>
              <w:rPr>
                <w:rFonts w:ascii="Times New Roman Regular" w:eastAsia="宋体" w:hAnsi="Times New Roman Regular" w:cs="Times New Roman Regular"/>
              </w:rPr>
              <w:t>。</w:t>
            </w:r>
            <w:r>
              <w:rPr>
                <w:rFonts w:ascii="Times New Roman Regular" w:eastAsia="宋体" w:hAnsi="Times New Roman Regular" w:cs="Times New Roman Regular" w:hint="eastAsia"/>
              </w:rPr>
              <w:t>该议题重点关注高校治理体系、治理能力和治理效能，立足拔尖创新人才培养、高水平教师队伍建设、产教融合等改革路径，从高等教育管理的制度创新、实践经验、绩效评价等范畴，探索如何聚焦</w:t>
            </w:r>
            <w:r>
              <w:rPr>
                <w:rFonts w:ascii="Times New Roman Regular" w:eastAsia="宋体" w:hAnsi="Times New Roman Regular" w:cs="Times New Roman Regular"/>
              </w:rPr>
              <w:t>建设世界重要人才中心和创新高地的战略需求，</w:t>
            </w:r>
            <w:r>
              <w:rPr>
                <w:rFonts w:ascii="Times New Roman Regular" w:eastAsia="宋体" w:hAnsi="Times New Roman Regular" w:cs="Times New Roman Regular" w:hint="eastAsia"/>
              </w:rPr>
              <w:t>助</w:t>
            </w:r>
            <w:proofErr w:type="gramStart"/>
            <w:r>
              <w:rPr>
                <w:rFonts w:ascii="Times New Roman Regular" w:eastAsia="宋体" w:hAnsi="Times New Roman Regular" w:cs="Times New Roman Regular" w:hint="eastAsia"/>
              </w:rPr>
              <w:t>推</w:t>
            </w:r>
            <w:r>
              <w:rPr>
                <w:rFonts w:ascii="Times New Roman Regular" w:eastAsia="宋体" w:hAnsi="Times New Roman Regular" w:cs="Times New Roman Regular"/>
              </w:rPr>
              <w:t>教育</w:t>
            </w:r>
            <w:proofErr w:type="gramEnd"/>
            <w:r>
              <w:rPr>
                <w:rFonts w:ascii="Times New Roman Regular" w:eastAsia="宋体" w:hAnsi="Times New Roman Regular" w:cs="Times New Roman Regular"/>
              </w:rPr>
              <w:t>科技人才体制机制一体改革</w:t>
            </w:r>
            <w:r>
              <w:rPr>
                <w:rFonts w:ascii="Times New Roman Regular" w:eastAsia="宋体" w:hAnsi="Times New Roman Regular" w:cs="Times New Roman Regular" w:hint="eastAsia"/>
              </w:rPr>
              <w:t>。</w:t>
            </w:r>
          </w:p>
          <w:p w:rsidR="00444412" w:rsidRDefault="00CA2872">
            <w:pPr>
              <w:ind w:firstLineChars="200" w:firstLine="420"/>
              <w:rPr>
                <w:rFonts w:ascii="Times New Roman Regular" w:eastAsia="宋体" w:hAnsi="Times New Roman Regular" w:cs="Times New Roman Regular"/>
              </w:rPr>
            </w:pPr>
            <w:r>
              <w:rPr>
                <w:rFonts w:ascii="Times New Roman Regular" w:eastAsia="宋体" w:hAnsi="Times New Roman Regular" w:cs="Times New Roman Regular"/>
              </w:rPr>
              <w:t>基本要求：（</w:t>
            </w:r>
            <w:r>
              <w:rPr>
                <w:rFonts w:ascii="Times New Roman Regular" w:eastAsia="宋体" w:hAnsi="Times New Roman Regular" w:cs="Times New Roman Regular"/>
              </w:rPr>
              <w:t>1</w:t>
            </w:r>
            <w:r>
              <w:rPr>
                <w:rFonts w:ascii="Times New Roman Regular" w:eastAsia="宋体" w:hAnsi="Times New Roman Regular" w:cs="Times New Roman Regular"/>
              </w:rPr>
              <w:t>）重点面向具有政府部门、</w:t>
            </w:r>
            <w:r>
              <w:rPr>
                <w:rFonts w:ascii="Times New Roman Regular" w:eastAsia="宋体" w:hAnsi="Times New Roman Regular" w:cs="Times New Roman Regular" w:hint="eastAsia"/>
              </w:rPr>
              <w:t>高校、科研机构</w:t>
            </w:r>
            <w:r>
              <w:rPr>
                <w:rFonts w:ascii="Times New Roman Regular" w:eastAsia="宋体" w:hAnsi="Times New Roman Regular" w:cs="Times New Roman Regular"/>
              </w:rPr>
              <w:t>等相关职业背景，以及教育学、管理学、经济学、</w:t>
            </w:r>
            <w:r w:rsidR="00123D71">
              <w:rPr>
                <w:rFonts w:ascii="Times New Roman Regular" w:eastAsia="宋体" w:hAnsi="Times New Roman Regular" w:cs="Times New Roman Regular" w:hint="eastAsia"/>
              </w:rPr>
              <w:t>计算机、</w:t>
            </w:r>
            <w:r>
              <w:rPr>
                <w:rFonts w:ascii="Times New Roman Regular" w:eastAsia="宋体" w:hAnsi="Times New Roman Regular" w:cs="Times New Roman Regular" w:hint="eastAsia"/>
              </w:rPr>
              <w:t>交叉学科</w:t>
            </w:r>
            <w:r>
              <w:rPr>
                <w:rFonts w:ascii="Times New Roman Regular" w:eastAsia="宋体" w:hAnsi="Times New Roman Regular" w:cs="Times New Roman Regular"/>
              </w:rPr>
              <w:t>等相关专业背景的学生；（</w:t>
            </w:r>
            <w:r>
              <w:rPr>
                <w:rFonts w:ascii="Times New Roman Regular" w:eastAsia="宋体" w:hAnsi="Times New Roman Regular" w:cs="Times New Roman Regular"/>
              </w:rPr>
              <w:t>2</w:t>
            </w:r>
            <w:r>
              <w:rPr>
                <w:rFonts w:ascii="Times New Roman Regular" w:eastAsia="宋体" w:hAnsi="Times New Roman Regular" w:cs="Times New Roman Regular"/>
              </w:rPr>
              <w:t>）能够获取研究相关实证资料，较为熟悉高等教育领域的政策环境和创新模式。</w:t>
            </w:r>
          </w:p>
        </w:tc>
      </w:tr>
      <w:tr w:rsidR="00444412">
        <w:trPr>
          <w:trHeight w:val="986"/>
        </w:trPr>
        <w:tc>
          <w:tcPr>
            <w:tcW w:w="8393" w:type="dxa"/>
            <w:gridSpan w:val="5"/>
            <w:shd w:val="clear" w:color="auto" w:fill="D0CECE" w:themeFill="background2" w:themeFillShade="E6"/>
            <w:vAlign w:val="center"/>
          </w:tcPr>
          <w:p w:rsidR="00444412" w:rsidRDefault="00CA2872">
            <w:pPr>
              <w:spacing w:line="276" w:lineRule="auto"/>
              <w:rPr>
                <w:rFonts w:ascii="Times New Roman Regular" w:eastAsia="宋体" w:hAnsi="Times New Roman Regular" w:cs="Times New Roman Regular"/>
                <w:b/>
                <w:bCs/>
              </w:rPr>
            </w:pPr>
            <w:r>
              <w:rPr>
                <w:rFonts w:ascii="Times New Roman Regular" w:eastAsia="宋体" w:hAnsi="Times New Roman Regular" w:cs="Times New Roman Regular"/>
                <w:b/>
                <w:bCs/>
              </w:rPr>
              <w:t>选题</w:t>
            </w:r>
            <w:r>
              <w:rPr>
                <w:rFonts w:ascii="Times New Roman Regular" w:eastAsia="宋体" w:hAnsi="Times New Roman Regular" w:cs="Times New Roman Regular"/>
                <w:b/>
                <w:bCs/>
              </w:rPr>
              <w:t>2</w:t>
            </w:r>
            <w:r>
              <w:rPr>
                <w:rFonts w:ascii="Times New Roman Regular" w:eastAsia="宋体" w:hAnsi="Times New Roman Regular" w:cs="Times New Roman Regular"/>
                <w:b/>
                <w:bCs/>
              </w:rPr>
              <w:t>：</w:t>
            </w:r>
            <w:r>
              <w:rPr>
                <w:rFonts w:ascii="Times New Roman Regular" w:eastAsia="宋体" w:hAnsi="Times New Roman Regular" w:cs="Times New Roman Regular"/>
                <w:b/>
                <w:bCs/>
              </w:rPr>
              <w:t xml:space="preserve"> </w:t>
            </w:r>
            <w:r>
              <w:rPr>
                <w:rFonts w:ascii="Times New Roman Regular" w:eastAsia="宋体" w:hAnsi="Times New Roman Regular" w:cs="Times New Roman Regular"/>
                <w:b/>
                <w:bCs/>
              </w:rPr>
              <w:t>公益慈善（大学基金会）</w:t>
            </w:r>
          </w:p>
        </w:tc>
      </w:tr>
      <w:tr w:rsidR="00444412">
        <w:trPr>
          <w:trHeight w:val="844"/>
        </w:trPr>
        <w:tc>
          <w:tcPr>
            <w:tcW w:w="8393" w:type="dxa"/>
            <w:gridSpan w:val="5"/>
          </w:tcPr>
          <w:p w:rsidR="00444412" w:rsidRDefault="00CA2872">
            <w:pPr>
              <w:ind w:firstLineChars="200" w:firstLine="420"/>
              <w:rPr>
                <w:rFonts w:ascii="Times New Roman Regular" w:eastAsia="宋体" w:hAnsi="Times New Roman Regular" w:cs="Times New Roman Regular"/>
              </w:rPr>
            </w:pPr>
            <w:r>
              <w:rPr>
                <w:rFonts w:ascii="Times New Roman Regular" w:eastAsia="宋体" w:hAnsi="Times New Roman Regular" w:cs="Times New Roman Regular"/>
              </w:rPr>
              <w:t>构建初次分配、再分配、第三次分配协调配套的制度体系，引导、支持有意愿有能力的企业、社会组织和个人积极参与公益慈善事业，亟待深入研究公益慈善的理论体系、政策环境、行业基础设施等难题。其中，大学基金会作为公益慈善在高等教育领域的重要载体，它在一定程度上缓解了大学发展自主性、应变性、动态性与预算刚性的矛盾，并逐渐成为慈善和教育事业不可或缺的资源支撑。该议题重点关注公益慈善领域的政策制定、创新管理，以及大学基金会的发展模式和制约因素等，从而实现良法善治基础上的公共利益最大化，助力完善中央、地方、企业、社会协同投入长效机制。</w:t>
            </w:r>
          </w:p>
          <w:p w:rsidR="00444412" w:rsidRDefault="00CA2872">
            <w:pPr>
              <w:ind w:firstLineChars="200" w:firstLine="420"/>
              <w:rPr>
                <w:rFonts w:ascii="Times New Roman Regular" w:eastAsia="宋体" w:hAnsi="Times New Roman Regular" w:cs="Times New Roman Regular"/>
              </w:rPr>
            </w:pPr>
            <w:r>
              <w:rPr>
                <w:rFonts w:ascii="Times New Roman Regular" w:eastAsia="宋体" w:hAnsi="Times New Roman Regular" w:cs="Times New Roman Regular"/>
              </w:rPr>
              <w:t>基本要求：（</w:t>
            </w:r>
            <w:r>
              <w:rPr>
                <w:rFonts w:ascii="Times New Roman Regular" w:eastAsia="宋体" w:hAnsi="Times New Roman Regular" w:cs="Times New Roman Regular"/>
              </w:rPr>
              <w:t>1</w:t>
            </w:r>
            <w:r>
              <w:rPr>
                <w:rFonts w:ascii="Times New Roman Regular" w:eastAsia="宋体" w:hAnsi="Times New Roman Regular" w:cs="Times New Roman Regular"/>
              </w:rPr>
              <w:t>）重点面向具有政府部门、高等教育管理、社会组织等相关职业背景，以及教育学、管理学、经济学、政治学</w:t>
            </w:r>
            <w:r>
              <w:rPr>
                <w:rFonts w:ascii="Times New Roman Regular" w:eastAsia="宋体" w:hAnsi="Times New Roman Regular" w:cs="Times New Roman Regular" w:hint="eastAsia"/>
              </w:rPr>
              <w:t>、</w:t>
            </w:r>
            <w:r>
              <w:rPr>
                <w:rFonts w:ascii="Times New Roman Regular" w:eastAsia="宋体" w:hAnsi="Times New Roman Regular" w:cs="Times New Roman Regular"/>
              </w:rPr>
              <w:t>心理学</w:t>
            </w:r>
            <w:r>
              <w:rPr>
                <w:rFonts w:ascii="Times New Roman Regular" w:eastAsia="宋体" w:hAnsi="Times New Roman Regular" w:cs="Times New Roman Regular" w:hint="eastAsia"/>
              </w:rPr>
              <w:t>、数学、计算机</w:t>
            </w:r>
            <w:r>
              <w:rPr>
                <w:rFonts w:ascii="Times New Roman Regular" w:eastAsia="宋体" w:hAnsi="Times New Roman Regular" w:cs="Times New Roman Regular"/>
              </w:rPr>
              <w:t>等相关专业背景的学生；（</w:t>
            </w:r>
            <w:r>
              <w:rPr>
                <w:rFonts w:ascii="Times New Roman Regular" w:eastAsia="宋体" w:hAnsi="Times New Roman Regular" w:cs="Times New Roman Regular"/>
              </w:rPr>
              <w:t>2</w:t>
            </w:r>
            <w:r>
              <w:rPr>
                <w:rFonts w:ascii="Times New Roman Regular" w:eastAsia="宋体" w:hAnsi="Times New Roman Regular" w:cs="Times New Roman Regular"/>
              </w:rPr>
              <w:t>）与公益慈善领域相关单位具有密切的联系，能够获取研究所需的相关访谈和案例资料。</w:t>
            </w:r>
          </w:p>
        </w:tc>
      </w:tr>
      <w:tr w:rsidR="00444412">
        <w:trPr>
          <w:trHeight w:val="984"/>
        </w:trPr>
        <w:tc>
          <w:tcPr>
            <w:tcW w:w="8393" w:type="dxa"/>
            <w:gridSpan w:val="5"/>
            <w:shd w:val="clear" w:color="auto" w:fill="D0CECE" w:themeFill="background2" w:themeFillShade="E6"/>
            <w:vAlign w:val="center"/>
          </w:tcPr>
          <w:p w:rsidR="00444412" w:rsidRDefault="00CA2872">
            <w:pPr>
              <w:spacing w:line="276" w:lineRule="auto"/>
              <w:rPr>
                <w:rFonts w:ascii="Times New Roman Regular" w:eastAsia="宋体" w:hAnsi="Times New Roman Regular" w:cs="Times New Roman Regular"/>
                <w:b/>
                <w:bCs/>
              </w:rPr>
            </w:pPr>
            <w:r>
              <w:rPr>
                <w:rFonts w:ascii="Times New Roman Regular" w:eastAsia="宋体" w:hAnsi="Times New Roman Regular" w:cs="Times New Roman Regular"/>
                <w:b/>
                <w:bCs/>
              </w:rPr>
              <w:t>选题</w:t>
            </w:r>
            <w:r>
              <w:rPr>
                <w:rFonts w:ascii="Times New Roman Regular" w:eastAsia="宋体" w:hAnsi="Times New Roman Regular" w:cs="Times New Roman Regular"/>
                <w:b/>
                <w:bCs/>
              </w:rPr>
              <w:t>3</w:t>
            </w:r>
            <w:r>
              <w:rPr>
                <w:rFonts w:ascii="Times New Roman Regular" w:eastAsia="宋体" w:hAnsi="Times New Roman Regular" w:cs="Times New Roman Regular"/>
                <w:b/>
                <w:bCs/>
              </w:rPr>
              <w:t>：非营利组织（基金会、社会团体）治理</w:t>
            </w:r>
          </w:p>
        </w:tc>
      </w:tr>
      <w:tr w:rsidR="00444412">
        <w:trPr>
          <w:trHeight w:val="690"/>
        </w:trPr>
        <w:tc>
          <w:tcPr>
            <w:tcW w:w="8393" w:type="dxa"/>
            <w:gridSpan w:val="5"/>
          </w:tcPr>
          <w:p w:rsidR="00444412" w:rsidRDefault="00CA2872">
            <w:pPr>
              <w:ind w:firstLineChars="200" w:firstLine="420"/>
              <w:rPr>
                <w:rFonts w:ascii="Times New Roman Regular" w:eastAsia="宋体" w:hAnsi="Times New Roman Regular" w:cs="Times New Roman Regular"/>
              </w:rPr>
            </w:pPr>
            <w:r>
              <w:rPr>
                <w:rFonts w:ascii="Times New Roman Regular" w:eastAsia="宋体" w:hAnsi="Times New Roman Regular" w:cs="Times New Roman Regular"/>
              </w:rPr>
              <w:t>非营利组织具有鲜明的非营利性、自治性、志愿性、公益性等特征，厘清非营利组织的产权基础和委托代理关系，通过组织内部合理的权利分配机制与各利益相关者的外部监督推进协同治理，才能在实现公益目标的基础上兼顾各方主体的利益。该议题重点关注治</w:t>
            </w:r>
            <w:r>
              <w:rPr>
                <w:rFonts w:ascii="Times New Roman Regular" w:eastAsia="宋体" w:hAnsi="Times New Roman Regular" w:cs="Times New Roman Regular"/>
              </w:rPr>
              <w:lastRenderedPageBreak/>
              <w:t>理结构改革、制度规范制定、组织发展策略等，以提升非营利组织的治理能力。</w:t>
            </w:r>
          </w:p>
          <w:p w:rsidR="00444412" w:rsidRDefault="00CA2872">
            <w:pPr>
              <w:ind w:firstLineChars="200" w:firstLine="420"/>
              <w:rPr>
                <w:rFonts w:ascii="Times New Roman Regular" w:eastAsia="宋体" w:hAnsi="Times New Roman Regular" w:cs="Times New Roman Regular"/>
              </w:rPr>
            </w:pPr>
            <w:r>
              <w:rPr>
                <w:rFonts w:ascii="Times New Roman Regular" w:eastAsia="宋体" w:hAnsi="Times New Roman Regular" w:cs="Times New Roman Regular"/>
              </w:rPr>
              <w:t>基本要求：（</w:t>
            </w:r>
            <w:r>
              <w:rPr>
                <w:rFonts w:ascii="Times New Roman Regular" w:eastAsia="宋体" w:hAnsi="Times New Roman Regular" w:cs="Times New Roman Regular"/>
              </w:rPr>
              <w:t>1</w:t>
            </w:r>
            <w:r>
              <w:rPr>
                <w:rFonts w:ascii="Times New Roman Regular" w:eastAsia="宋体" w:hAnsi="Times New Roman Regular" w:cs="Times New Roman Regular"/>
              </w:rPr>
              <w:t>）重点面向参与或熟悉非营利组织管理，以及具有管理学、教育学、经济学、法学</w:t>
            </w:r>
            <w:r>
              <w:rPr>
                <w:rFonts w:ascii="Times New Roman Regular" w:eastAsia="宋体" w:hAnsi="Times New Roman Regular" w:cs="Times New Roman Regular" w:hint="eastAsia"/>
              </w:rPr>
              <w:t>、数学、计算机</w:t>
            </w:r>
            <w:r>
              <w:rPr>
                <w:rFonts w:ascii="Times New Roman Regular" w:eastAsia="宋体" w:hAnsi="Times New Roman Regular" w:cs="Times New Roman Regular"/>
              </w:rPr>
              <w:t>等相关专业背景的学生；（</w:t>
            </w:r>
            <w:r>
              <w:rPr>
                <w:rFonts w:ascii="Times New Roman Regular" w:eastAsia="宋体" w:hAnsi="Times New Roman Regular" w:cs="Times New Roman Regular"/>
              </w:rPr>
              <w:t>2</w:t>
            </w:r>
            <w:r>
              <w:rPr>
                <w:rFonts w:ascii="Times New Roman Regular" w:eastAsia="宋体" w:hAnsi="Times New Roman Regular" w:cs="Times New Roman Regular"/>
              </w:rPr>
              <w:t>）能够获取相关关键人物访谈，以及典型案例资料，对非营利组织的运行逻辑具备一定了解。</w:t>
            </w:r>
          </w:p>
        </w:tc>
      </w:tr>
      <w:tr w:rsidR="00444412">
        <w:trPr>
          <w:trHeight w:val="555"/>
        </w:trPr>
        <w:tc>
          <w:tcPr>
            <w:tcW w:w="8393" w:type="dxa"/>
            <w:gridSpan w:val="5"/>
            <w:vAlign w:val="center"/>
          </w:tcPr>
          <w:p w:rsidR="00444412" w:rsidRDefault="00CA2872">
            <w:pPr>
              <w:spacing w:line="360" w:lineRule="auto"/>
              <w:jc w:val="center"/>
              <w:rPr>
                <w:rFonts w:ascii="Times New Roman Regular" w:eastAsia="宋体" w:hAnsi="Times New Roman Regular" w:cs="Times New Roman Regular"/>
                <w:b/>
                <w:bCs/>
              </w:rPr>
            </w:pPr>
            <w:r>
              <w:rPr>
                <w:rFonts w:ascii="Times New Roman Regular" w:eastAsia="宋体" w:hAnsi="Times New Roman Regular" w:cs="Times New Roman Regular"/>
                <w:b/>
                <w:bCs/>
              </w:rPr>
              <w:lastRenderedPageBreak/>
              <w:t>对</w:t>
            </w:r>
            <w:r>
              <w:rPr>
                <w:rFonts w:ascii="Times New Roman Regular" w:eastAsia="宋体" w:hAnsi="Times New Roman Regular" w:cs="Times New Roman Regular"/>
                <w:b/>
                <w:bCs/>
              </w:rPr>
              <w:t>MPA</w:t>
            </w:r>
            <w:r>
              <w:rPr>
                <w:rFonts w:ascii="Times New Roman Regular" w:eastAsia="宋体" w:hAnsi="Times New Roman Regular" w:cs="Times New Roman Regular"/>
                <w:b/>
                <w:bCs/>
              </w:rPr>
              <w:t>学生的要求</w:t>
            </w:r>
          </w:p>
        </w:tc>
      </w:tr>
      <w:tr w:rsidR="00444412" w:rsidTr="00F81B73">
        <w:trPr>
          <w:trHeight w:val="2425"/>
        </w:trPr>
        <w:tc>
          <w:tcPr>
            <w:tcW w:w="8393" w:type="dxa"/>
            <w:gridSpan w:val="5"/>
            <w:tcBorders>
              <w:bottom w:val="single" w:sz="8" w:space="0" w:color="1F3864" w:themeColor="accent1" w:themeShade="80"/>
            </w:tcBorders>
          </w:tcPr>
          <w:p w:rsidR="00444412" w:rsidRDefault="00CA2872">
            <w:pPr>
              <w:ind w:firstLineChars="200" w:firstLine="422"/>
              <w:rPr>
                <w:rFonts w:ascii="Times New Roman Regular" w:eastAsia="宋体" w:hAnsi="Times New Roman Regular" w:cs="Times New Roman Regular"/>
              </w:rPr>
            </w:pPr>
            <w:r>
              <w:rPr>
                <w:rFonts w:ascii="Times New Roman Regular" w:eastAsia="宋体" w:hAnsi="Times New Roman Regular" w:cs="Times New Roman Regular"/>
                <w:b/>
                <w:bCs/>
              </w:rPr>
              <w:t>一是问题导向，心怀公共。</w:t>
            </w:r>
            <w:r>
              <w:rPr>
                <w:rFonts w:ascii="Times New Roman Regular" w:eastAsia="宋体" w:hAnsi="Times New Roman Regular" w:cs="Times New Roman Regular"/>
              </w:rPr>
              <w:t>聚焦国家重大战略和区域经济社会高质量发展，始终褒有探究</w:t>
            </w:r>
            <w:r w:rsidR="00F81B73">
              <w:rPr>
                <w:rFonts w:ascii="Times New Roman Regular" w:eastAsia="宋体" w:hAnsi="Times New Roman Regular" w:cs="Times New Roman Regular" w:hint="eastAsia"/>
              </w:rPr>
              <w:t>高等教育和</w:t>
            </w:r>
            <w:r>
              <w:rPr>
                <w:rFonts w:ascii="Times New Roman Regular" w:eastAsia="宋体" w:hAnsi="Times New Roman Regular" w:cs="Times New Roman Regular"/>
              </w:rPr>
              <w:t>公共问题本源的意识和热情，助</w:t>
            </w:r>
            <w:proofErr w:type="gramStart"/>
            <w:r>
              <w:rPr>
                <w:rFonts w:ascii="Times New Roman Regular" w:eastAsia="宋体" w:hAnsi="Times New Roman Regular" w:cs="Times New Roman Regular"/>
              </w:rPr>
              <w:t>推研究</w:t>
            </w:r>
            <w:proofErr w:type="gramEnd"/>
            <w:r>
              <w:rPr>
                <w:rFonts w:ascii="Times New Roman Regular" w:eastAsia="宋体" w:hAnsi="Times New Roman Regular" w:cs="Times New Roman Regular"/>
              </w:rPr>
              <w:t>内容与公益慈善、高等教育等发展相辅相成。</w:t>
            </w:r>
          </w:p>
          <w:p w:rsidR="00444412" w:rsidRDefault="00CA2872">
            <w:pPr>
              <w:ind w:firstLineChars="200" w:firstLine="422"/>
              <w:rPr>
                <w:rFonts w:ascii="Times New Roman Regular" w:eastAsia="宋体" w:hAnsi="Times New Roman Regular" w:cs="Times New Roman Regular"/>
              </w:rPr>
            </w:pPr>
            <w:r>
              <w:rPr>
                <w:rFonts w:ascii="Times New Roman Regular" w:eastAsia="宋体" w:hAnsi="Times New Roman Regular" w:cs="Times New Roman Regular"/>
                <w:b/>
                <w:bCs/>
              </w:rPr>
              <w:t>二是精深研究，锤炼能力。</w:t>
            </w:r>
            <w:r>
              <w:rPr>
                <w:rFonts w:ascii="Times New Roman Regular" w:eastAsia="宋体" w:hAnsi="Times New Roman Regular" w:cs="Times New Roman Regular"/>
              </w:rPr>
              <w:t>系统学习掌握研究领域基本理论和方法，并将调研访谈</w:t>
            </w:r>
            <w:bookmarkStart w:id="0" w:name="_GoBack"/>
            <w:bookmarkEnd w:id="0"/>
            <w:r>
              <w:rPr>
                <w:rFonts w:ascii="Times New Roman Regular" w:eastAsia="宋体" w:hAnsi="Times New Roman Regular" w:cs="Times New Roman Regular"/>
              </w:rPr>
              <w:t>、统计分析、跨学科研究等能力，综合应用于毕业论文撰写、实际问题解决等方面。</w:t>
            </w:r>
          </w:p>
          <w:p w:rsidR="00444412" w:rsidRDefault="00CA2872">
            <w:pPr>
              <w:ind w:firstLineChars="200" w:firstLine="422"/>
              <w:rPr>
                <w:rFonts w:ascii="Times New Roman Regular" w:eastAsia="宋体" w:hAnsi="Times New Roman Regular" w:cs="Times New Roman Regular"/>
              </w:rPr>
            </w:pPr>
            <w:r>
              <w:rPr>
                <w:rFonts w:ascii="Times New Roman Regular" w:eastAsia="宋体" w:hAnsi="Times New Roman Regular" w:cs="Times New Roman Regular"/>
                <w:b/>
                <w:bCs/>
              </w:rPr>
              <w:t>三是勤勉专注，积极融入。</w:t>
            </w:r>
            <w:r>
              <w:rPr>
                <w:rFonts w:ascii="Times New Roman Regular" w:eastAsia="宋体" w:hAnsi="Times New Roman Regular" w:cs="Times New Roman Regular"/>
              </w:rPr>
              <w:t>持续发挥主观能动性，在潜精研</w:t>
            </w:r>
            <w:proofErr w:type="gramStart"/>
            <w:r>
              <w:rPr>
                <w:rFonts w:ascii="Times New Roman Regular" w:eastAsia="宋体" w:hAnsi="Times New Roman Regular" w:cs="Times New Roman Regular"/>
              </w:rPr>
              <w:t>思以及</w:t>
            </w:r>
            <w:proofErr w:type="gramEnd"/>
            <w:r>
              <w:rPr>
                <w:rFonts w:ascii="Times New Roman Regular" w:eastAsia="宋体" w:hAnsi="Times New Roman Regular" w:cs="Times New Roman Regular"/>
              </w:rPr>
              <w:t>与导师密切沟通、良性互动中，积极克服自我成长、论文写作、专业研究和职业发展等挑战。</w:t>
            </w:r>
          </w:p>
        </w:tc>
      </w:tr>
      <w:tr w:rsidR="00444412">
        <w:tc>
          <w:tcPr>
            <w:tcW w:w="8393" w:type="dxa"/>
            <w:gridSpan w:val="5"/>
            <w:tcBorders>
              <w:top w:val="single" w:sz="8" w:space="0" w:color="1F3864" w:themeColor="accent1" w:themeShade="80"/>
              <w:left w:val="nil"/>
              <w:bottom w:val="nil"/>
              <w:right w:val="nil"/>
            </w:tcBorders>
          </w:tcPr>
          <w:p w:rsidR="00444412" w:rsidRDefault="00444412">
            <w:pPr>
              <w:ind w:firstLineChars="200" w:firstLine="400"/>
              <w:rPr>
                <w:rFonts w:ascii="Times New Roman Regular" w:eastAsia="宋体" w:hAnsi="Times New Roman Regular" w:cs="Times New Roman Regular"/>
                <w:sz w:val="20"/>
                <w:szCs w:val="22"/>
              </w:rPr>
            </w:pPr>
          </w:p>
          <w:p w:rsidR="00444412" w:rsidRDefault="00CA2872">
            <w:pPr>
              <w:ind w:firstLineChars="200" w:firstLine="400"/>
              <w:rPr>
                <w:rFonts w:ascii="Times New Roman Regular" w:eastAsia="宋体" w:hAnsi="Times New Roman Regular" w:cs="Times New Roman Regular"/>
                <w:sz w:val="20"/>
                <w:szCs w:val="22"/>
              </w:rPr>
            </w:pPr>
            <w:r>
              <w:rPr>
                <w:rFonts w:ascii="Times New Roman Regular" w:eastAsia="宋体" w:hAnsi="Times New Roman Regular" w:cs="Times New Roman Regular"/>
                <w:sz w:val="20"/>
                <w:szCs w:val="22"/>
              </w:rPr>
              <w:t>本表更新时间：</w:t>
            </w:r>
            <w:r>
              <w:rPr>
                <w:rFonts w:ascii="Times New Roman Regular" w:eastAsia="宋体" w:hAnsi="Times New Roman Regular" w:cs="Times New Roman Regular"/>
                <w:sz w:val="20"/>
                <w:szCs w:val="22"/>
              </w:rPr>
              <w:t>2024</w:t>
            </w:r>
            <w:r>
              <w:rPr>
                <w:rFonts w:ascii="Times New Roman Regular" w:eastAsia="宋体" w:hAnsi="Times New Roman Regular" w:cs="Times New Roman Regular"/>
                <w:sz w:val="20"/>
                <w:szCs w:val="22"/>
              </w:rPr>
              <w:t>年</w:t>
            </w:r>
            <w:r>
              <w:rPr>
                <w:rFonts w:ascii="Times New Roman Regular" w:eastAsia="宋体" w:hAnsi="Times New Roman Regular" w:cs="Times New Roman Regular"/>
                <w:sz w:val="20"/>
                <w:szCs w:val="22"/>
              </w:rPr>
              <w:t>9</w:t>
            </w:r>
            <w:r>
              <w:rPr>
                <w:rFonts w:ascii="Times New Roman Regular" w:eastAsia="宋体" w:hAnsi="Times New Roman Regular" w:cs="Times New Roman Regular"/>
                <w:sz w:val="20"/>
                <w:szCs w:val="22"/>
              </w:rPr>
              <w:t>月</w:t>
            </w:r>
          </w:p>
          <w:p w:rsidR="00444412" w:rsidRDefault="00CA2872">
            <w:pPr>
              <w:ind w:firstLineChars="200" w:firstLine="400"/>
              <w:rPr>
                <w:rFonts w:ascii="Times New Roman Regular" w:eastAsia="宋体" w:hAnsi="Times New Roman Regular" w:cs="Times New Roman Regular"/>
                <w:sz w:val="20"/>
                <w:szCs w:val="22"/>
              </w:rPr>
            </w:pPr>
            <w:r>
              <w:rPr>
                <w:rFonts w:ascii="Times New Roman Regular" w:eastAsia="宋体" w:hAnsi="Times New Roman Regular" w:cs="Times New Roman Regular"/>
                <w:sz w:val="20"/>
                <w:szCs w:val="22"/>
              </w:rPr>
              <w:t>本表用于</w:t>
            </w:r>
            <w:r>
              <w:rPr>
                <w:rFonts w:ascii="Times New Roman Regular" w:eastAsia="宋体" w:hAnsi="Times New Roman Regular" w:cs="Times New Roman Regular"/>
                <w:sz w:val="20"/>
                <w:szCs w:val="22"/>
              </w:rPr>
              <w:t>MPA</w:t>
            </w:r>
            <w:r>
              <w:rPr>
                <w:rFonts w:ascii="Times New Roman Regular" w:eastAsia="宋体" w:hAnsi="Times New Roman Regular" w:cs="Times New Roman Regular"/>
                <w:sz w:val="20"/>
                <w:szCs w:val="22"/>
              </w:rPr>
              <w:t>项目师生双向选择。有关导师的详细信息请点击浙江大学教师个人主页获取。</w:t>
            </w:r>
          </w:p>
        </w:tc>
      </w:tr>
    </w:tbl>
    <w:p w:rsidR="00444412" w:rsidRDefault="00444412">
      <w:pPr>
        <w:rPr>
          <w:rFonts w:ascii="Garamond" w:eastAsia="宋体" w:hAnsi="Garamond"/>
        </w:rPr>
      </w:pPr>
    </w:p>
    <w:sectPr w:rsidR="00444412">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Times New Roman Regular">
    <w:altName w:val="Arial"/>
    <w:charset w:val="00"/>
    <w:family w:val="auto"/>
    <w:pitch w:val="default"/>
    <w:sig w:usb0="00000000" w:usb1="C0007841" w:usb2="00000009" w:usb3="00000000" w:csb0="400001FF" w:csb1="FFFF0000"/>
  </w:font>
  <w:font w:name="Garamond">
    <w:altName w:val="苹方-简"/>
    <w:panose1 w:val="02020404030301010803"/>
    <w:charset w:val="00"/>
    <w:family w:val="roman"/>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g3MTk2MmMzMjdlMDFjYTMzOGE4YjQyY2MzMDc2YzgifQ=="/>
  </w:docVars>
  <w:rsids>
    <w:rsidRoot w:val="00444412"/>
    <w:rsid w:val="00444412"/>
    <w:rsid w:val="07E6037D"/>
    <w:rsid w:val="17F94FE8"/>
    <w:rsid w:val="1BDA005E"/>
    <w:rsid w:val="3DF7C409"/>
    <w:rsid w:val="3E7EC979"/>
    <w:rsid w:val="3F6F84A8"/>
    <w:rsid w:val="3FD59EF5"/>
    <w:rsid w:val="4BF7FC70"/>
    <w:rsid w:val="4FBF785D"/>
    <w:rsid w:val="55F730D6"/>
    <w:rsid w:val="587E006A"/>
    <w:rsid w:val="5A6F733A"/>
    <w:rsid w:val="5DFF7976"/>
    <w:rsid w:val="5FF3DBC3"/>
    <w:rsid w:val="6FB60E56"/>
    <w:rsid w:val="72F401C2"/>
    <w:rsid w:val="77CCD5BB"/>
    <w:rsid w:val="77E36728"/>
    <w:rsid w:val="77F764E6"/>
    <w:rsid w:val="7AF616D2"/>
    <w:rsid w:val="7B7F1B1D"/>
    <w:rsid w:val="7DBEA1BC"/>
    <w:rsid w:val="7EDF9E3B"/>
    <w:rsid w:val="7EFC6B7D"/>
    <w:rsid w:val="7FD76B06"/>
    <w:rsid w:val="7FFF10E2"/>
    <w:rsid w:val="7FFF30E1"/>
    <w:rsid w:val="86379142"/>
    <w:rsid w:val="A3B30727"/>
    <w:rsid w:val="B7E719A1"/>
    <w:rsid w:val="B7FF001A"/>
    <w:rsid w:val="B9FF6763"/>
    <w:rsid w:val="BDDEAAD9"/>
    <w:rsid w:val="BF3C8B2E"/>
    <w:rsid w:val="BFDB085B"/>
    <w:rsid w:val="C7DCDBD6"/>
    <w:rsid w:val="CAF543DA"/>
    <w:rsid w:val="DD0FEEA6"/>
    <w:rsid w:val="DD790C4A"/>
    <w:rsid w:val="DE2B7E1D"/>
    <w:rsid w:val="E4BBFC1D"/>
    <w:rsid w:val="E7BE10D6"/>
    <w:rsid w:val="EC7FC677"/>
    <w:rsid w:val="EEEB8DF9"/>
    <w:rsid w:val="F3BF964C"/>
    <w:rsid w:val="F3FDBCD7"/>
    <w:rsid w:val="F5E2D282"/>
    <w:rsid w:val="F5FE932F"/>
    <w:rsid w:val="F6DCBD92"/>
    <w:rsid w:val="F6FF266C"/>
    <w:rsid w:val="F74FF04A"/>
    <w:rsid w:val="F7A73A88"/>
    <w:rsid w:val="F7FD4DE8"/>
    <w:rsid w:val="FDEB9798"/>
    <w:rsid w:val="FEF6305C"/>
    <w:rsid w:val="FFBF6221"/>
    <w:rsid w:val="FFF219EB"/>
    <w:rsid w:val="FFFEF975"/>
    <w:rsid w:val="00123D71"/>
    <w:rsid w:val="00444412"/>
    <w:rsid w:val="00CA2872"/>
    <w:rsid w:val="00F81B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D9876"/>
  <w15:docId w15:val="{3E562323-5772-4FA6-9D4F-C658E5718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basedOn w:val="a0"/>
    <w:uiPriority w:val="22"/>
    <w:qFormat/>
    <w:rPr>
      <w:b/>
    </w:rPr>
  </w:style>
  <w:style w:type="paragraph" w:styleId="a9">
    <w:name w:val="List Paragraph"/>
    <w:basedOn w:val="a"/>
    <w:uiPriority w:val="34"/>
    <w:qFormat/>
    <w:pPr>
      <w:ind w:firstLineChars="200" w:firstLine="420"/>
    </w:p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205</Words>
  <Characters>1174</Characters>
  <Application>Microsoft Office Word</Application>
  <DocSecurity>0</DocSecurity>
  <Lines>9</Lines>
  <Paragraphs>2</Paragraphs>
  <ScaleCrop>false</ScaleCrop>
  <Company>ZJU</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Xiang Gao</dc:creator>
  <cp:lastModifiedBy>ZJU</cp:lastModifiedBy>
  <cp:revision>36</cp:revision>
  <dcterms:created xsi:type="dcterms:W3CDTF">2019-10-13T09:50:00Z</dcterms:created>
  <dcterms:modified xsi:type="dcterms:W3CDTF">2024-10-27T12:53:00Z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2052-6.11.0.8885</vt:lpwstr>
  </property>
  <property fmtid="{D5CDD505-2E9C-101B-9397-08002B2CF9AE}" pid="3" name="ICV">
    <vt:lpwstr>201BBA9F67A570E206EA1A67A6BF2219_42</vt:lpwstr>
  </property>
</Properties>
</file>