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129"/>
        <w:gridCol w:w="1276"/>
        <w:gridCol w:w="992"/>
        <w:gridCol w:w="2820"/>
        <w:gridCol w:w="1829"/>
      </w:tblGrid>
      <w:tr w:rsidR="001C1424" w:rsidTr="00806456">
        <w:tc>
          <w:tcPr>
            <w:tcW w:w="8046" w:type="dxa"/>
            <w:gridSpan w:val="5"/>
            <w:tcBorders>
              <w:top w:val="nil"/>
              <w:left w:val="nil"/>
              <w:bottom w:val="single" w:sz="8" w:space="0" w:color="1F3864" w:themeColor="accent1" w:themeShade="80"/>
              <w:right w:val="nil"/>
            </w:tcBorders>
          </w:tcPr>
          <w:p w:rsidR="001C1424" w:rsidRDefault="000A38B8">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rsidR="001C1424" w:rsidTr="00806456">
        <w:tc>
          <w:tcPr>
            <w:tcW w:w="1129" w:type="dxa"/>
            <w:tcBorders>
              <w:top w:val="single" w:sz="8" w:space="0" w:color="1F3864" w:themeColor="accent1" w:themeShade="80"/>
            </w:tcBorders>
          </w:tcPr>
          <w:p w:rsidR="001C1424" w:rsidRDefault="000A38B8">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rsidR="001C1424" w:rsidRDefault="00806456">
            <w:pPr>
              <w:spacing w:line="276" w:lineRule="auto"/>
              <w:rPr>
                <w:rFonts w:ascii="Garamond" w:eastAsia="宋体" w:hAnsi="Garamond"/>
              </w:rPr>
            </w:pPr>
            <w:r>
              <w:rPr>
                <w:rFonts w:ascii="Garamond" w:eastAsia="宋体" w:hAnsi="Garamond" w:hint="eastAsia"/>
              </w:rPr>
              <w:t>肖武</w:t>
            </w:r>
          </w:p>
        </w:tc>
        <w:tc>
          <w:tcPr>
            <w:tcW w:w="992" w:type="dxa"/>
            <w:tcBorders>
              <w:top w:val="single" w:sz="8" w:space="0" w:color="1F3864" w:themeColor="accent1" w:themeShade="80"/>
            </w:tcBorders>
          </w:tcPr>
          <w:p w:rsidR="001C1424" w:rsidRDefault="000A38B8">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rsidR="001C1424" w:rsidRDefault="00806456">
            <w:pPr>
              <w:spacing w:line="276" w:lineRule="auto"/>
              <w:rPr>
                <w:rFonts w:ascii="Garamond" w:eastAsia="宋体" w:hAnsi="Garamond"/>
              </w:rPr>
            </w:pPr>
            <w:r>
              <w:rPr>
                <w:rFonts w:ascii="Garamond" w:eastAsia="宋体" w:hAnsi="Garamond" w:hint="eastAsia"/>
              </w:rPr>
              <w:t>研究员</w:t>
            </w:r>
          </w:p>
        </w:tc>
        <w:tc>
          <w:tcPr>
            <w:tcW w:w="1829" w:type="dxa"/>
            <w:vMerge w:val="restart"/>
            <w:tcBorders>
              <w:top w:val="single" w:sz="8" w:space="0" w:color="1F3864" w:themeColor="accent1" w:themeShade="80"/>
            </w:tcBorders>
          </w:tcPr>
          <w:p w:rsidR="001C1424" w:rsidRDefault="00806456">
            <w:pPr>
              <w:spacing w:line="276" w:lineRule="auto"/>
              <w:ind w:firstLineChars="100" w:firstLine="210"/>
              <w:rPr>
                <w:rFonts w:ascii="Garamond" w:eastAsia="宋体" w:hAnsi="Garamond"/>
              </w:rPr>
            </w:pPr>
            <w:r>
              <w:rPr>
                <w:noProof/>
              </w:rPr>
              <w:drawing>
                <wp:inline distT="0" distB="0" distL="0" distR="0">
                  <wp:extent cx="733322" cy="9798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9735" cy="988373"/>
                          </a:xfrm>
                          <a:prstGeom prst="rect">
                            <a:avLst/>
                          </a:prstGeom>
                          <a:noFill/>
                          <a:ln>
                            <a:noFill/>
                          </a:ln>
                        </pic:spPr>
                      </pic:pic>
                    </a:graphicData>
                  </a:graphic>
                </wp:inline>
              </w:drawing>
            </w:r>
          </w:p>
        </w:tc>
      </w:tr>
      <w:tr w:rsidR="001C1424" w:rsidTr="00806456">
        <w:tc>
          <w:tcPr>
            <w:tcW w:w="1129" w:type="dxa"/>
          </w:tcPr>
          <w:p w:rsidR="001C1424" w:rsidRDefault="000A38B8">
            <w:pPr>
              <w:spacing w:line="276" w:lineRule="auto"/>
              <w:jc w:val="distribute"/>
              <w:rPr>
                <w:rFonts w:ascii="Garamond" w:eastAsia="宋体" w:hAnsi="Garamond"/>
              </w:rPr>
            </w:pPr>
            <w:r>
              <w:rPr>
                <w:rFonts w:ascii="Garamond" w:eastAsia="宋体" w:hAnsi="Garamond"/>
              </w:rPr>
              <w:t>性别</w:t>
            </w:r>
          </w:p>
        </w:tc>
        <w:tc>
          <w:tcPr>
            <w:tcW w:w="1276" w:type="dxa"/>
          </w:tcPr>
          <w:p w:rsidR="001C1424" w:rsidRDefault="00806456">
            <w:pPr>
              <w:spacing w:line="276" w:lineRule="auto"/>
              <w:rPr>
                <w:rFonts w:ascii="Garamond" w:eastAsia="宋体" w:hAnsi="Garamond"/>
              </w:rPr>
            </w:pPr>
            <w:r>
              <w:rPr>
                <w:rFonts w:ascii="Garamond" w:eastAsia="宋体" w:hAnsi="Garamond" w:hint="eastAsia"/>
              </w:rPr>
              <w:t>男</w:t>
            </w:r>
          </w:p>
        </w:tc>
        <w:tc>
          <w:tcPr>
            <w:tcW w:w="992" w:type="dxa"/>
          </w:tcPr>
          <w:p w:rsidR="001C1424" w:rsidRDefault="000A38B8">
            <w:pPr>
              <w:spacing w:line="276" w:lineRule="auto"/>
              <w:rPr>
                <w:rFonts w:ascii="Garamond" w:eastAsia="宋体" w:hAnsi="Garamond"/>
              </w:rPr>
            </w:pPr>
            <w:r>
              <w:rPr>
                <w:rFonts w:ascii="Garamond" w:eastAsia="宋体" w:hAnsi="Garamond"/>
              </w:rPr>
              <w:t>研究所</w:t>
            </w:r>
          </w:p>
        </w:tc>
        <w:tc>
          <w:tcPr>
            <w:tcW w:w="2820" w:type="dxa"/>
          </w:tcPr>
          <w:p w:rsidR="001C1424" w:rsidRDefault="00806456">
            <w:pPr>
              <w:spacing w:line="276" w:lineRule="auto"/>
              <w:rPr>
                <w:rFonts w:ascii="Garamond" w:eastAsia="宋体" w:hAnsi="Garamond"/>
              </w:rPr>
            </w:pPr>
            <w:r w:rsidRPr="00806456">
              <w:rPr>
                <w:rFonts w:ascii="Garamond" w:eastAsia="宋体" w:hAnsi="Garamond" w:hint="eastAsia"/>
              </w:rPr>
              <w:t>土地科学与不动产研究所</w:t>
            </w:r>
          </w:p>
        </w:tc>
        <w:tc>
          <w:tcPr>
            <w:tcW w:w="1829" w:type="dxa"/>
            <w:vMerge/>
          </w:tcPr>
          <w:p w:rsidR="001C1424" w:rsidRDefault="001C1424">
            <w:pPr>
              <w:spacing w:line="276" w:lineRule="auto"/>
              <w:rPr>
                <w:rFonts w:ascii="Garamond" w:eastAsia="宋体" w:hAnsi="Garamond"/>
              </w:rPr>
            </w:pPr>
          </w:p>
        </w:tc>
      </w:tr>
      <w:tr w:rsidR="001C1424" w:rsidTr="00806456">
        <w:tc>
          <w:tcPr>
            <w:tcW w:w="1129" w:type="dxa"/>
          </w:tcPr>
          <w:p w:rsidR="001C1424" w:rsidRDefault="000A38B8">
            <w:pPr>
              <w:spacing w:line="276" w:lineRule="auto"/>
              <w:jc w:val="distribute"/>
              <w:rPr>
                <w:rFonts w:ascii="Garamond" w:eastAsia="宋体" w:hAnsi="Garamond"/>
              </w:rPr>
            </w:pPr>
            <w:r>
              <w:rPr>
                <w:rFonts w:ascii="Garamond" w:eastAsia="宋体" w:hAnsi="Garamond"/>
              </w:rPr>
              <w:t>电子邮箱</w:t>
            </w:r>
          </w:p>
        </w:tc>
        <w:tc>
          <w:tcPr>
            <w:tcW w:w="5088" w:type="dxa"/>
            <w:gridSpan w:val="3"/>
          </w:tcPr>
          <w:p w:rsidR="001C1424" w:rsidRDefault="00806456">
            <w:pPr>
              <w:spacing w:line="276" w:lineRule="auto"/>
              <w:rPr>
                <w:rFonts w:ascii="Garamond" w:eastAsia="宋体" w:hAnsi="Garamond"/>
              </w:rPr>
            </w:pPr>
            <w:r>
              <w:rPr>
                <w:rFonts w:ascii="Garamond" w:eastAsia="宋体" w:hAnsi="Garamond" w:hint="eastAsia"/>
              </w:rPr>
              <w:t>xiaowu@zju.edu.cn</w:t>
            </w:r>
          </w:p>
        </w:tc>
        <w:tc>
          <w:tcPr>
            <w:tcW w:w="1829" w:type="dxa"/>
            <w:vMerge/>
          </w:tcPr>
          <w:p w:rsidR="001C1424" w:rsidRDefault="001C1424">
            <w:pPr>
              <w:spacing w:line="276" w:lineRule="auto"/>
              <w:rPr>
                <w:rFonts w:ascii="Garamond" w:eastAsia="宋体" w:hAnsi="Garamond"/>
              </w:rPr>
            </w:pPr>
          </w:p>
        </w:tc>
      </w:tr>
      <w:tr w:rsidR="001C1424" w:rsidTr="00806456">
        <w:tc>
          <w:tcPr>
            <w:tcW w:w="6217" w:type="dxa"/>
            <w:gridSpan w:val="4"/>
          </w:tcPr>
          <w:p w:rsidR="001C1424" w:rsidRDefault="000A38B8">
            <w:pPr>
              <w:spacing w:line="276" w:lineRule="auto"/>
              <w:rPr>
                <w:rFonts w:ascii="Garamond" w:eastAsia="宋体" w:hAnsi="Garamond"/>
                <w:b/>
              </w:rPr>
            </w:pPr>
            <w:r>
              <w:rPr>
                <w:rFonts w:ascii="Garamond" w:eastAsia="宋体" w:hAnsi="Garamond"/>
                <w:b/>
              </w:rPr>
              <w:t>个人主页：</w:t>
            </w:r>
            <w:r>
              <w:rPr>
                <w:rFonts w:ascii="Garamond" w:eastAsia="宋体" w:hAnsi="Garamond"/>
                <w:b/>
              </w:rPr>
              <w:t xml:space="preserve"> </w:t>
            </w:r>
            <w:r w:rsidR="00806456" w:rsidRPr="00806456">
              <w:rPr>
                <w:rFonts w:ascii="Garamond" w:eastAsia="宋体" w:hAnsi="Garamond"/>
                <w:b/>
              </w:rPr>
              <w:t>https://person.zju.edu.cn/wuxiao</w:t>
            </w:r>
          </w:p>
        </w:tc>
        <w:tc>
          <w:tcPr>
            <w:tcW w:w="1829" w:type="dxa"/>
            <w:vMerge/>
          </w:tcPr>
          <w:p w:rsidR="001C1424" w:rsidRDefault="001C1424">
            <w:pPr>
              <w:spacing w:line="276" w:lineRule="auto"/>
              <w:rPr>
                <w:rFonts w:ascii="Garamond" w:eastAsia="宋体" w:hAnsi="Garamond"/>
              </w:rPr>
            </w:pPr>
          </w:p>
        </w:tc>
      </w:tr>
      <w:tr w:rsidR="001C1424" w:rsidTr="00806456">
        <w:tc>
          <w:tcPr>
            <w:tcW w:w="8046" w:type="dxa"/>
            <w:gridSpan w:val="5"/>
          </w:tcPr>
          <w:p w:rsidR="001C1424" w:rsidRDefault="000A38B8">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rsidR="001C1424" w:rsidTr="00F95A9F">
        <w:trPr>
          <w:trHeight w:val="708"/>
        </w:trPr>
        <w:tc>
          <w:tcPr>
            <w:tcW w:w="8046" w:type="dxa"/>
            <w:gridSpan w:val="5"/>
            <w:shd w:val="clear" w:color="auto" w:fill="D0CECE" w:themeFill="background2" w:themeFillShade="E6"/>
          </w:tcPr>
          <w:p w:rsidR="001C1424" w:rsidRDefault="000A38B8">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b/>
                <w:bCs/>
              </w:rPr>
              <w:t xml:space="preserve"> </w:t>
            </w:r>
            <w:r w:rsidR="009466B7">
              <w:rPr>
                <w:rFonts w:ascii="Garamond" w:eastAsia="宋体" w:hAnsi="Garamond" w:hint="eastAsia"/>
                <w:b/>
                <w:bCs/>
              </w:rPr>
              <w:t>全域土地综合整治的市场化</w:t>
            </w:r>
            <w:r w:rsidR="00AB281A">
              <w:rPr>
                <w:rFonts w:ascii="Garamond" w:eastAsia="宋体" w:hAnsi="Garamond" w:hint="eastAsia"/>
                <w:b/>
                <w:bCs/>
              </w:rPr>
              <w:t>参与</w:t>
            </w:r>
            <w:r w:rsidR="009466B7">
              <w:rPr>
                <w:rFonts w:ascii="Garamond" w:eastAsia="宋体" w:hAnsi="Garamond" w:hint="eastAsia"/>
                <w:b/>
                <w:bCs/>
              </w:rPr>
              <w:t>模式</w:t>
            </w:r>
            <w:r w:rsidR="00AB281A">
              <w:rPr>
                <w:rFonts w:ascii="Garamond" w:eastAsia="宋体" w:hAnsi="Garamond" w:hint="eastAsia"/>
                <w:b/>
                <w:bCs/>
              </w:rPr>
              <w:t>与</w:t>
            </w:r>
            <w:r w:rsidR="009466B7">
              <w:rPr>
                <w:rFonts w:ascii="Garamond" w:eastAsia="宋体" w:hAnsi="Garamond" w:hint="eastAsia"/>
                <w:b/>
                <w:bCs/>
              </w:rPr>
              <w:t>路径</w:t>
            </w:r>
          </w:p>
        </w:tc>
      </w:tr>
      <w:tr w:rsidR="001C1424" w:rsidTr="00806456">
        <w:trPr>
          <w:trHeight w:val="848"/>
        </w:trPr>
        <w:tc>
          <w:tcPr>
            <w:tcW w:w="8046" w:type="dxa"/>
            <w:gridSpan w:val="5"/>
          </w:tcPr>
          <w:p w:rsidR="00E818B0" w:rsidRDefault="000A38B8">
            <w:pPr>
              <w:rPr>
                <w:rFonts w:ascii="Garamond" w:eastAsia="宋体" w:hAnsi="Garamond"/>
              </w:rPr>
            </w:pPr>
            <w:r w:rsidRPr="000B5857">
              <w:rPr>
                <w:rFonts w:ascii="Garamond" w:eastAsia="宋体" w:hAnsi="Garamond"/>
              </w:rPr>
              <w:t>简介</w:t>
            </w:r>
            <w:r w:rsidRPr="000B5857">
              <w:rPr>
                <w:rFonts w:ascii="Garamond" w:eastAsia="宋体" w:hAnsi="Garamond" w:hint="eastAsia"/>
              </w:rPr>
              <w:t>：</w:t>
            </w:r>
            <w:r w:rsidRPr="000B5857">
              <w:rPr>
                <w:rFonts w:ascii="Garamond" w:eastAsia="宋体" w:hAnsi="Garamond"/>
              </w:rPr>
              <w:t xml:space="preserve"> </w:t>
            </w:r>
            <w:r w:rsidR="00E818B0" w:rsidRPr="000B5857">
              <w:rPr>
                <w:rFonts w:ascii="Garamond" w:eastAsia="宋体" w:hAnsi="Garamond" w:hint="eastAsia"/>
              </w:rPr>
              <w:t>全域土地综合整治是促进三生空间格局合理与优化利用的重要手段，但也面临投入资金不足的问题，以依靠政府财政投资为主的土地整治模式，已经难以满足全域土地综合整治的发展需求。</w:t>
            </w:r>
            <w:r w:rsidR="00F95A9F" w:rsidRPr="000B5857">
              <w:rPr>
                <w:rFonts w:ascii="Garamond" w:eastAsia="宋体" w:hAnsi="Garamond" w:hint="eastAsia"/>
              </w:rPr>
              <w:t>以浙江省为例，通过文献分析、政策文本分析、访谈调研等研究方法结合，探讨和分析通过市场化方式引入社会资本参与全域土地综合整治的模式、实施方式、潜在风险，以及优化路径。</w:t>
            </w:r>
          </w:p>
        </w:tc>
      </w:tr>
      <w:tr w:rsidR="001C1424" w:rsidTr="00806456">
        <w:trPr>
          <w:trHeight w:val="832"/>
        </w:trPr>
        <w:tc>
          <w:tcPr>
            <w:tcW w:w="8046" w:type="dxa"/>
            <w:gridSpan w:val="5"/>
            <w:shd w:val="clear" w:color="auto" w:fill="D0CECE" w:themeFill="background2" w:themeFillShade="E6"/>
          </w:tcPr>
          <w:p w:rsidR="001C1424" w:rsidRDefault="000A38B8">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b/>
                <w:bCs/>
              </w:rPr>
              <w:t xml:space="preserve"> </w:t>
            </w:r>
            <w:r w:rsidR="000B5857">
              <w:rPr>
                <w:rFonts w:ascii="Garamond" w:eastAsia="宋体" w:hAnsi="Garamond" w:hint="eastAsia"/>
                <w:b/>
                <w:bCs/>
              </w:rPr>
              <w:t>浙江省山区耕地优化利用模拟研究</w:t>
            </w:r>
          </w:p>
        </w:tc>
      </w:tr>
      <w:tr w:rsidR="001C1424" w:rsidTr="00F95A9F">
        <w:trPr>
          <w:trHeight w:val="1405"/>
        </w:trPr>
        <w:tc>
          <w:tcPr>
            <w:tcW w:w="8046" w:type="dxa"/>
            <w:gridSpan w:val="5"/>
          </w:tcPr>
          <w:p w:rsidR="001C1424" w:rsidRDefault="00AB281A">
            <w:pPr>
              <w:rPr>
                <w:rFonts w:ascii="Garamond" w:eastAsia="宋体" w:hAnsi="Garamond"/>
              </w:rPr>
            </w:pPr>
            <w:r>
              <w:rPr>
                <w:rFonts w:ascii="Garamond" w:eastAsia="宋体" w:hAnsi="Garamond" w:hint="eastAsia"/>
              </w:rPr>
              <w:t>简介：</w:t>
            </w:r>
            <w:r w:rsidR="000B5857">
              <w:rPr>
                <w:rFonts w:ascii="Garamond" w:eastAsia="宋体" w:hAnsi="Garamond" w:hint="eastAsia"/>
              </w:rPr>
              <w:t>以浙江省山区耕地为</w:t>
            </w:r>
            <w:r w:rsidR="00DF6984">
              <w:rPr>
                <w:rFonts w:ascii="Garamond" w:eastAsia="宋体" w:hAnsi="Garamond" w:hint="eastAsia"/>
              </w:rPr>
              <w:t>研究对象</w:t>
            </w:r>
            <w:r w:rsidR="000B5857">
              <w:rPr>
                <w:rFonts w:ascii="Garamond" w:eastAsia="宋体" w:hAnsi="Garamond" w:hint="eastAsia"/>
              </w:rPr>
              <w:t>，分析其利用的状态和持续性，利用</w:t>
            </w:r>
            <w:r w:rsidR="000B5857">
              <w:rPr>
                <w:rFonts w:ascii="Garamond" w:eastAsia="宋体" w:hAnsi="Garamond" w:hint="eastAsia"/>
              </w:rPr>
              <w:t>G</w:t>
            </w:r>
            <w:r w:rsidR="000B5857">
              <w:rPr>
                <w:rFonts w:ascii="Garamond" w:eastAsia="宋体" w:hAnsi="Garamond"/>
              </w:rPr>
              <w:t>IS</w:t>
            </w:r>
            <w:r w:rsidR="000B5857">
              <w:rPr>
                <w:rFonts w:ascii="Garamond" w:eastAsia="宋体" w:hAnsi="Garamond" w:hint="eastAsia"/>
              </w:rPr>
              <w:t>空间叠加分析与模拟研究，对耕地利用的持续性、撂荒的时空特征进行分析，提出优化利用的情景，并分析其潜在影响。</w:t>
            </w:r>
          </w:p>
        </w:tc>
      </w:tr>
      <w:tr w:rsidR="001C1424" w:rsidTr="0010084E">
        <w:trPr>
          <w:trHeight w:val="703"/>
        </w:trPr>
        <w:tc>
          <w:tcPr>
            <w:tcW w:w="8046" w:type="dxa"/>
            <w:gridSpan w:val="5"/>
            <w:shd w:val="clear" w:color="auto" w:fill="D0CECE" w:themeFill="background2" w:themeFillShade="E6"/>
          </w:tcPr>
          <w:p w:rsidR="001C1424" w:rsidRDefault="000A38B8">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sidR="00DF6984">
              <w:rPr>
                <w:rFonts w:ascii="Garamond" w:eastAsia="宋体" w:hAnsi="Garamond" w:hint="eastAsia"/>
                <w:b/>
                <w:bCs/>
              </w:rPr>
              <w:t>：</w:t>
            </w:r>
            <w:r w:rsidR="0010084E">
              <w:rPr>
                <w:rFonts w:ascii="Garamond" w:eastAsia="宋体" w:hAnsi="Garamond" w:hint="eastAsia"/>
                <w:b/>
                <w:bCs/>
              </w:rPr>
              <w:t>国土空间生态修复成效评估体系构建与实证研究</w:t>
            </w:r>
          </w:p>
        </w:tc>
      </w:tr>
      <w:tr w:rsidR="001C1424" w:rsidTr="00806456">
        <w:trPr>
          <w:trHeight w:val="700"/>
        </w:trPr>
        <w:tc>
          <w:tcPr>
            <w:tcW w:w="8046" w:type="dxa"/>
            <w:gridSpan w:val="5"/>
          </w:tcPr>
          <w:p w:rsidR="0010084E" w:rsidRDefault="000A38B8">
            <w:pPr>
              <w:rPr>
                <w:rFonts w:ascii="Garamond" w:eastAsia="宋体" w:hAnsi="Garamond" w:hint="eastAsia"/>
              </w:rPr>
            </w:pPr>
            <w:r>
              <w:rPr>
                <w:rFonts w:ascii="Garamond" w:eastAsia="宋体" w:hAnsi="Garamond"/>
              </w:rPr>
              <w:t>简介</w:t>
            </w:r>
            <w:r>
              <w:rPr>
                <w:rFonts w:ascii="Garamond" w:eastAsia="宋体" w:hAnsi="Garamond" w:hint="eastAsia"/>
              </w:rPr>
              <w:t>：</w:t>
            </w:r>
            <w:r>
              <w:rPr>
                <w:rFonts w:ascii="Garamond" w:eastAsia="宋体" w:hAnsi="Garamond"/>
              </w:rPr>
              <w:t xml:space="preserve"> </w:t>
            </w:r>
            <w:bookmarkStart w:id="0" w:name="_GoBack"/>
            <w:bookmarkEnd w:id="0"/>
            <w:r w:rsidR="0010084E" w:rsidRPr="0010084E">
              <w:rPr>
                <w:rFonts w:ascii="Garamond" w:eastAsia="宋体" w:hAnsi="Garamond" w:hint="eastAsia"/>
              </w:rPr>
              <w:t>国土空间生态保护修复是对受到人类干扰而受损或退化的生态系统进行保护和修复的系统工程，成效评估对其优化调整与实现效益可持续具有重要意义。在梳理国土空间生态保护修复内涵的基础上，研究构建面向国土空间生态保护修复的多尺度成效评估体系与</w:t>
            </w:r>
            <w:proofErr w:type="gramStart"/>
            <w:r w:rsidR="0010084E" w:rsidRPr="0010084E">
              <w:rPr>
                <w:rFonts w:ascii="Garamond" w:eastAsia="宋体" w:hAnsi="Garamond" w:hint="eastAsia"/>
              </w:rPr>
              <w:t>支撑成效</w:t>
            </w:r>
            <w:proofErr w:type="gramEnd"/>
            <w:r w:rsidR="0010084E" w:rsidRPr="0010084E">
              <w:rPr>
                <w:rFonts w:ascii="Garamond" w:eastAsia="宋体" w:hAnsi="Garamond" w:hint="eastAsia"/>
              </w:rPr>
              <w:t>评估的全周期监测体系</w:t>
            </w:r>
            <w:r w:rsidR="0010084E">
              <w:rPr>
                <w:rFonts w:ascii="Garamond" w:eastAsia="宋体" w:hAnsi="Garamond" w:hint="eastAsia"/>
              </w:rPr>
              <w:t>，并选择丽水为例开展实证研究</w:t>
            </w:r>
            <w:r w:rsidR="0010084E" w:rsidRPr="0010084E">
              <w:rPr>
                <w:rFonts w:ascii="Garamond" w:eastAsia="宋体" w:hAnsi="Garamond" w:hint="eastAsia"/>
              </w:rPr>
              <w:t>。</w:t>
            </w:r>
          </w:p>
        </w:tc>
      </w:tr>
      <w:tr w:rsidR="001C1424" w:rsidTr="00806456">
        <w:trPr>
          <w:trHeight w:val="555"/>
        </w:trPr>
        <w:tc>
          <w:tcPr>
            <w:tcW w:w="8046" w:type="dxa"/>
            <w:gridSpan w:val="5"/>
          </w:tcPr>
          <w:p w:rsidR="001C1424" w:rsidRDefault="000A38B8">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rsidR="001C1424" w:rsidTr="00806456">
        <w:trPr>
          <w:trHeight w:val="1271"/>
        </w:trPr>
        <w:tc>
          <w:tcPr>
            <w:tcW w:w="8046" w:type="dxa"/>
            <w:gridSpan w:val="5"/>
            <w:tcBorders>
              <w:bottom w:val="single" w:sz="8" w:space="0" w:color="1F3864" w:themeColor="accent1" w:themeShade="80"/>
            </w:tcBorders>
          </w:tcPr>
          <w:p w:rsidR="005C4F94" w:rsidRPr="005C4F94" w:rsidRDefault="005C4F94" w:rsidP="005C4F94">
            <w:pPr>
              <w:pStyle w:val="a4"/>
              <w:numPr>
                <w:ilvl w:val="0"/>
                <w:numId w:val="6"/>
              </w:numPr>
              <w:ind w:firstLineChars="0"/>
              <w:rPr>
                <w:rFonts w:ascii="Garamond" w:eastAsia="宋体" w:hAnsi="Garamond"/>
              </w:rPr>
            </w:pPr>
            <w:r>
              <w:rPr>
                <w:rFonts w:ascii="Garamond" w:eastAsia="宋体" w:hAnsi="Garamond" w:hint="eastAsia"/>
              </w:rPr>
              <w:t>善于思考的能力</w:t>
            </w:r>
          </w:p>
          <w:p w:rsidR="005C4F94" w:rsidRDefault="005C4F94" w:rsidP="00D9516E">
            <w:pPr>
              <w:pStyle w:val="a4"/>
              <w:numPr>
                <w:ilvl w:val="0"/>
                <w:numId w:val="6"/>
              </w:numPr>
              <w:ind w:firstLineChars="0"/>
              <w:rPr>
                <w:rFonts w:ascii="Garamond" w:eastAsia="宋体" w:hAnsi="Garamond"/>
              </w:rPr>
            </w:pPr>
            <w:r>
              <w:rPr>
                <w:rFonts w:ascii="Garamond" w:eastAsia="宋体" w:hAnsi="Garamond" w:hint="eastAsia"/>
              </w:rPr>
              <w:t>团队协作的能力</w:t>
            </w:r>
          </w:p>
          <w:p w:rsidR="001C1424" w:rsidRPr="005C4F94" w:rsidRDefault="005C4F94" w:rsidP="005C4F94">
            <w:pPr>
              <w:pStyle w:val="a4"/>
              <w:numPr>
                <w:ilvl w:val="0"/>
                <w:numId w:val="6"/>
              </w:numPr>
              <w:ind w:firstLineChars="0"/>
              <w:rPr>
                <w:rFonts w:ascii="Garamond" w:eastAsia="宋体" w:hAnsi="Garamond"/>
              </w:rPr>
            </w:pPr>
            <w:r>
              <w:rPr>
                <w:rFonts w:ascii="Garamond" w:eastAsia="宋体" w:hAnsi="Garamond" w:hint="eastAsia"/>
              </w:rPr>
              <w:t>具备土地资源管理方向的学习背景和基础</w:t>
            </w:r>
          </w:p>
        </w:tc>
      </w:tr>
      <w:tr w:rsidR="001C1424" w:rsidTr="00806456">
        <w:tc>
          <w:tcPr>
            <w:tcW w:w="8046" w:type="dxa"/>
            <w:gridSpan w:val="5"/>
            <w:tcBorders>
              <w:top w:val="single" w:sz="8" w:space="0" w:color="1F3864" w:themeColor="accent1" w:themeShade="80"/>
              <w:left w:val="nil"/>
              <w:bottom w:val="nil"/>
              <w:right w:val="nil"/>
            </w:tcBorders>
          </w:tcPr>
          <w:p w:rsidR="001C1424" w:rsidRDefault="001C1424">
            <w:pPr>
              <w:ind w:firstLineChars="200" w:firstLine="400"/>
              <w:rPr>
                <w:rFonts w:ascii="Garamond" w:eastAsia="宋体" w:hAnsi="Garamond"/>
                <w:sz w:val="20"/>
                <w:szCs w:val="22"/>
              </w:rPr>
            </w:pPr>
          </w:p>
          <w:p w:rsidR="001C1424" w:rsidRDefault="000A38B8">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6</w:t>
            </w:r>
            <w:r>
              <w:rPr>
                <w:rFonts w:ascii="Garamond" w:eastAsia="宋体" w:hAnsi="Garamond" w:hint="eastAsia"/>
                <w:sz w:val="20"/>
                <w:szCs w:val="22"/>
              </w:rPr>
              <w:t>月</w:t>
            </w:r>
          </w:p>
          <w:p w:rsidR="001C1424" w:rsidRDefault="000A38B8">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rsidR="001C1424" w:rsidRDefault="001C1424">
      <w:pPr>
        <w:rPr>
          <w:rFonts w:ascii="Garamond" w:eastAsia="宋体" w:hAnsi="Garamond"/>
        </w:rPr>
      </w:pPr>
    </w:p>
    <w:sectPr w:rsidR="001C1424">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18C" w:rsidRDefault="00D7618C">
      <w:r>
        <w:separator/>
      </w:r>
    </w:p>
  </w:endnote>
  <w:endnote w:type="continuationSeparator" w:id="0">
    <w:p w:rsidR="00D7618C" w:rsidRDefault="00D76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18C" w:rsidRDefault="00D7618C">
      <w:r>
        <w:separator/>
      </w:r>
    </w:p>
  </w:footnote>
  <w:footnote w:type="continuationSeparator" w:id="0">
    <w:p w:rsidR="00D7618C" w:rsidRDefault="00D76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26D6E04"/>
    <w:multiLevelType w:val="hybridMultilevel"/>
    <w:tmpl w:val="D546831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C1424"/>
    <w:rsid w:val="000A38B8"/>
    <w:rsid w:val="000B5857"/>
    <w:rsid w:val="000D6AAD"/>
    <w:rsid w:val="0010084E"/>
    <w:rsid w:val="00114BDB"/>
    <w:rsid w:val="001C1424"/>
    <w:rsid w:val="005C4F94"/>
    <w:rsid w:val="007A4B02"/>
    <w:rsid w:val="00806456"/>
    <w:rsid w:val="009466B7"/>
    <w:rsid w:val="00AB281A"/>
    <w:rsid w:val="00BF2AB9"/>
    <w:rsid w:val="00D3083B"/>
    <w:rsid w:val="00D7618C"/>
    <w:rsid w:val="00D9516E"/>
    <w:rsid w:val="00DF6984"/>
    <w:rsid w:val="00E818B0"/>
    <w:rsid w:val="00F2777F"/>
    <w:rsid w:val="00F95A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1A358"/>
  <w15:docId w15:val="{317CDDA7-BD61-430E-8BFA-DD54ABB7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108</Words>
  <Characters>621</Characters>
  <Application>Microsoft Office Word</Application>
  <DocSecurity>0</DocSecurity>
  <Lines>5</Lines>
  <Paragraphs>1</Paragraphs>
  <ScaleCrop>false</ScaleCrop>
  <Company>ZJU</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XIAO</cp:lastModifiedBy>
  <cp:revision>47</cp:revision>
  <dcterms:created xsi:type="dcterms:W3CDTF">2019-10-12T01:50:00Z</dcterms:created>
  <dcterms:modified xsi:type="dcterms:W3CDTF">2023-07-04T02:49:00Z</dcterms:modified>
</cp:coreProperties>
</file>