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ook w:val="04A0" w:firstRow="1" w:lastRow="0" w:firstColumn="1" w:lastColumn="0" w:noHBand="0" w:noVBand="1"/>
      </w:tblPr>
      <w:tblGrid>
        <w:gridCol w:w="1129"/>
        <w:gridCol w:w="1276"/>
        <w:gridCol w:w="992"/>
        <w:gridCol w:w="2820"/>
        <w:gridCol w:w="2073"/>
      </w:tblGrid>
      <w:tr>
        <w:tc>
          <w:tcPr>
            <w:tcW w:w="8290" w:type="dxa"/>
            <w:gridSpan w:val="5"/>
            <w:tcBorders>
              <w:top w:val="nil"/>
              <w:left w:val="nil"/>
              <w:bottom w:val="single" w:sz="8" w:space="0" w:color="1F3864" w:themeColor="accent1" w:themeShade="80"/>
              <w:right w:val="nil"/>
            </w:tcBorders>
          </w:tcPr>
          <w:p>
            <w:pPr>
              <w:spacing w:line="480" w:lineRule="auto"/>
              <w:jc w:val="center"/>
              <w:rPr>
                <w:rFonts w:ascii="Garamond" w:eastAsia="宋体" w:hAnsi="Garamond"/>
                <w:b/>
                <w:bCs/>
                <w:sz w:val="24"/>
                <w:szCs w:val="32"/>
              </w:rPr>
            </w:pPr>
            <w:r>
              <w:rPr>
                <w:rFonts w:ascii="Garamond" w:eastAsia="宋体" w:hAnsi="Garamond"/>
                <w:b/>
                <w:bCs/>
                <w:sz w:val="24"/>
                <w:szCs w:val="32"/>
              </w:rPr>
              <w:t>浙江大学</w:t>
            </w:r>
            <w:r>
              <w:rPr>
                <w:rFonts w:ascii="Garamond" w:eastAsia="宋体" w:hAnsi="Garamond"/>
                <w:b/>
                <w:bCs/>
                <w:sz w:val="24"/>
                <w:szCs w:val="32"/>
              </w:rPr>
              <w:t>MPA</w:t>
            </w:r>
            <w:r>
              <w:rPr>
                <w:rFonts w:ascii="Garamond" w:eastAsia="宋体" w:hAnsi="Garamond"/>
                <w:b/>
                <w:bCs/>
                <w:sz w:val="24"/>
                <w:szCs w:val="32"/>
              </w:rPr>
              <w:t>专业导师信息表</w:t>
            </w:r>
          </w:p>
        </w:tc>
      </w:tr>
      <w:tr>
        <w:tc>
          <w:tcPr>
            <w:tcW w:w="1129" w:type="dxa"/>
            <w:tcBorders>
              <w:top w:val="single" w:sz="8" w:space="0" w:color="1F3864" w:themeColor="accent1" w:themeShade="80"/>
            </w:tcBorders>
          </w:tcPr>
          <w:p>
            <w:pPr>
              <w:spacing w:line="276" w:lineRule="auto"/>
              <w:jc w:val="distribute"/>
              <w:rPr>
                <w:rFonts w:ascii="Garamond" w:eastAsia="宋体" w:hAnsi="Garamond"/>
              </w:rPr>
            </w:pPr>
            <w:r>
              <w:rPr>
                <w:rFonts w:ascii="Garamond" w:eastAsia="宋体" w:hAnsi="Garamond"/>
              </w:rPr>
              <w:t>姓名</w:t>
            </w:r>
          </w:p>
        </w:tc>
        <w:tc>
          <w:tcPr>
            <w:tcW w:w="1276"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龚斌磊</w:t>
            </w:r>
          </w:p>
        </w:tc>
        <w:tc>
          <w:tcPr>
            <w:tcW w:w="992"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rPr>
              <w:t>职称</w:t>
            </w:r>
          </w:p>
        </w:tc>
        <w:tc>
          <w:tcPr>
            <w:tcW w:w="2820" w:type="dxa"/>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rPr>
              <w:t>研究员</w:t>
            </w:r>
          </w:p>
        </w:tc>
        <w:tc>
          <w:tcPr>
            <w:tcW w:w="2073" w:type="dxa"/>
            <w:vMerge w:val="restart"/>
            <w:tcBorders>
              <w:top w:val="single" w:sz="8" w:space="0" w:color="1F3864" w:themeColor="accent1" w:themeShade="80"/>
            </w:tcBorders>
          </w:tcPr>
          <w:p>
            <w:pPr>
              <w:spacing w:line="276" w:lineRule="auto"/>
              <w:rPr>
                <w:rFonts w:ascii="Garamond" w:eastAsia="宋体" w:hAnsi="Garamond"/>
              </w:rPr>
            </w:pPr>
            <w:r>
              <w:rPr>
                <w:rFonts w:ascii="Garamond" w:eastAsia="宋体" w:hAnsi="Garamond" w:hint="eastAsia"/>
                <w:noProof/>
              </w:rPr>
              <w:drawing>
                <wp:inline distT="0" distB="0" distL="0" distR="0">
                  <wp:extent cx="838200" cy="1174750"/>
                  <wp:effectExtent l="0" t="0" r="0" b="6350"/>
                  <wp:docPr id="1" name="图片 1" descr="C:\Users\Administrator\Desktop\个人资料\重要文件扫描件\近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个人资料\重要文件扫描件\近照.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0554" cy="1178049"/>
                          </a:xfrm>
                          <a:prstGeom prst="rect">
                            <a:avLst/>
                          </a:prstGeom>
                          <a:noFill/>
                          <a:ln>
                            <a:noFill/>
                          </a:ln>
                        </pic:spPr>
                      </pic:pic>
                    </a:graphicData>
                  </a:graphic>
                </wp:inline>
              </w:drawing>
            </w:r>
          </w:p>
        </w:tc>
      </w:tr>
      <w:tr>
        <w:tc>
          <w:tcPr>
            <w:tcW w:w="1129" w:type="dxa"/>
          </w:tcPr>
          <w:p>
            <w:pPr>
              <w:spacing w:line="276" w:lineRule="auto"/>
              <w:jc w:val="distribute"/>
              <w:rPr>
                <w:rFonts w:ascii="Garamond" w:eastAsia="宋体" w:hAnsi="Garamond"/>
              </w:rPr>
            </w:pPr>
            <w:r>
              <w:rPr>
                <w:rFonts w:ascii="Garamond" w:eastAsia="宋体" w:hAnsi="Garamond"/>
              </w:rPr>
              <w:t>性别</w:t>
            </w:r>
          </w:p>
        </w:tc>
        <w:tc>
          <w:tcPr>
            <w:tcW w:w="1276" w:type="dxa"/>
          </w:tcPr>
          <w:p>
            <w:pPr>
              <w:spacing w:line="276" w:lineRule="auto"/>
              <w:rPr>
                <w:rFonts w:ascii="Garamond" w:eastAsia="宋体" w:hAnsi="Garamond"/>
              </w:rPr>
            </w:pPr>
            <w:r>
              <w:rPr>
                <w:rFonts w:ascii="Garamond" w:eastAsia="宋体" w:hAnsi="Garamond" w:hint="eastAsia"/>
              </w:rPr>
              <w:t>男</w:t>
            </w:r>
          </w:p>
        </w:tc>
        <w:tc>
          <w:tcPr>
            <w:tcW w:w="992" w:type="dxa"/>
          </w:tcPr>
          <w:p>
            <w:pPr>
              <w:spacing w:line="276" w:lineRule="auto"/>
              <w:rPr>
                <w:rFonts w:ascii="Garamond" w:eastAsia="宋体" w:hAnsi="Garamond"/>
              </w:rPr>
            </w:pPr>
            <w:r>
              <w:rPr>
                <w:rFonts w:ascii="Garamond" w:eastAsia="宋体" w:hAnsi="Garamond"/>
              </w:rPr>
              <w:t>研究所</w:t>
            </w:r>
          </w:p>
        </w:tc>
        <w:tc>
          <w:tcPr>
            <w:tcW w:w="2820" w:type="dxa"/>
          </w:tcPr>
          <w:p>
            <w:pPr>
              <w:spacing w:line="276" w:lineRule="auto"/>
              <w:rPr>
                <w:rFonts w:ascii="Garamond" w:eastAsia="宋体" w:hAnsi="Garamond"/>
              </w:rPr>
            </w:pPr>
            <w:r>
              <w:rPr>
                <w:rFonts w:ascii="Garamond" w:eastAsia="宋体" w:hAnsi="Garamond" w:hint="eastAsia"/>
              </w:rPr>
              <w:t>农业与农村经济发展研究所</w:t>
            </w:r>
            <w:r>
              <w:rPr>
                <w:rFonts w:ascii="Garamond" w:eastAsia="宋体" w:hAnsi="Garamond"/>
              </w:rPr>
              <w:t xml:space="preserve"> </w:t>
            </w:r>
          </w:p>
        </w:tc>
        <w:tc>
          <w:tcPr>
            <w:tcW w:w="2073" w:type="dxa"/>
            <w:vMerge/>
          </w:tcPr>
          <w:p>
            <w:pPr>
              <w:spacing w:line="276" w:lineRule="auto"/>
              <w:rPr>
                <w:rFonts w:ascii="Garamond" w:eastAsia="宋体" w:hAnsi="Garamond"/>
              </w:rPr>
            </w:pPr>
          </w:p>
        </w:tc>
      </w:tr>
      <w:tr>
        <w:tc>
          <w:tcPr>
            <w:tcW w:w="1129" w:type="dxa"/>
          </w:tcPr>
          <w:p>
            <w:pPr>
              <w:spacing w:line="276" w:lineRule="auto"/>
              <w:jc w:val="distribute"/>
              <w:rPr>
                <w:rFonts w:ascii="Garamond" w:eastAsia="宋体" w:hAnsi="Garamond"/>
              </w:rPr>
            </w:pPr>
            <w:r>
              <w:rPr>
                <w:rFonts w:ascii="Garamond" w:eastAsia="宋体" w:hAnsi="Garamond"/>
              </w:rPr>
              <w:t>电子邮箱</w:t>
            </w:r>
          </w:p>
        </w:tc>
        <w:tc>
          <w:tcPr>
            <w:tcW w:w="5088" w:type="dxa"/>
            <w:gridSpan w:val="3"/>
          </w:tcPr>
          <w:p>
            <w:pPr>
              <w:spacing w:line="276" w:lineRule="auto"/>
              <w:rPr>
                <w:rFonts w:ascii="Garamond" w:eastAsia="宋体" w:hAnsi="Garamond"/>
              </w:rPr>
            </w:pPr>
            <w:r>
              <w:rPr>
                <w:rFonts w:ascii="Garamond" w:eastAsia="宋体" w:hAnsi="Garamond" w:hint="eastAsia"/>
              </w:rPr>
              <w:t>gongbinlei@zju.edu.cn</w:t>
            </w:r>
          </w:p>
        </w:tc>
        <w:tc>
          <w:tcPr>
            <w:tcW w:w="2073" w:type="dxa"/>
            <w:vMerge/>
          </w:tcPr>
          <w:p>
            <w:pPr>
              <w:spacing w:line="276" w:lineRule="auto"/>
              <w:rPr>
                <w:rFonts w:ascii="Garamond" w:eastAsia="宋体" w:hAnsi="Garamond"/>
              </w:rPr>
            </w:pPr>
          </w:p>
        </w:tc>
      </w:tr>
      <w:tr>
        <w:trPr>
          <w:trHeight w:val="525"/>
        </w:trPr>
        <w:tc>
          <w:tcPr>
            <w:tcW w:w="6217" w:type="dxa"/>
            <w:gridSpan w:val="4"/>
          </w:tcPr>
          <w:p>
            <w:pPr>
              <w:spacing w:line="276" w:lineRule="auto"/>
              <w:rPr>
                <w:rFonts w:ascii="Garamond" w:eastAsia="宋体" w:hAnsi="Garamond"/>
              </w:rPr>
            </w:pPr>
            <w:r>
              <w:rPr>
                <w:rFonts w:ascii="Garamond" w:eastAsia="宋体" w:hAnsi="Garamond"/>
              </w:rPr>
              <w:t>个人主页：</w:t>
            </w:r>
            <w:r>
              <w:rPr>
                <w:rFonts w:ascii="Garamond" w:eastAsia="宋体" w:hAnsi="Garamond"/>
              </w:rPr>
              <w:t>person.zju.edu.cn/</w:t>
            </w:r>
          </w:p>
        </w:tc>
        <w:tc>
          <w:tcPr>
            <w:tcW w:w="2073" w:type="dxa"/>
            <w:vMerge/>
          </w:tcPr>
          <w:p>
            <w:pPr>
              <w:spacing w:line="276" w:lineRule="auto"/>
              <w:rPr>
                <w:rFonts w:ascii="Garamond" w:eastAsia="宋体" w:hAnsi="Garamond"/>
              </w:rPr>
            </w:pPr>
          </w:p>
        </w:tc>
      </w:tr>
      <w:tr>
        <w:tc>
          <w:tcPr>
            <w:tcW w:w="8290" w:type="dxa"/>
            <w:gridSpan w:val="5"/>
          </w:tcPr>
          <w:p>
            <w:pPr>
              <w:spacing w:line="360" w:lineRule="auto"/>
              <w:jc w:val="center"/>
              <w:rPr>
                <w:rFonts w:ascii="Garamond" w:eastAsia="宋体" w:hAnsi="Garamond"/>
                <w:b/>
                <w:bCs/>
              </w:rPr>
            </w:pPr>
            <w:r>
              <w:rPr>
                <w:rFonts w:ascii="Garamond" w:eastAsia="宋体" w:hAnsi="Garamond"/>
                <w:b/>
                <w:bCs/>
              </w:rPr>
              <w:t>拟带</w:t>
            </w:r>
            <w:r>
              <w:rPr>
                <w:rFonts w:ascii="Garamond" w:eastAsia="宋体" w:hAnsi="Garamond"/>
                <w:b/>
                <w:bCs/>
              </w:rPr>
              <w:t>MPA</w:t>
            </w:r>
            <w:r>
              <w:rPr>
                <w:rFonts w:ascii="Garamond" w:eastAsia="宋体" w:hAnsi="Garamond"/>
                <w:b/>
                <w:bCs/>
              </w:rPr>
              <w:t>学生的论文选题方向</w:t>
            </w:r>
          </w:p>
        </w:tc>
      </w:tr>
      <w:tr>
        <w:trPr>
          <w:trHeight w:val="245"/>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1</w:t>
            </w:r>
            <w:r>
              <w:rPr>
                <w:rFonts w:ascii="Garamond" w:eastAsia="宋体" w:hAnsi="Garamond"/>
                <w:b/>
                <w:bCs/>
              </w:rPr>
              <w:t>：</w:t>
            </w:r>
            <w:r>
              <w:rPr>
                <w:rFonts w:ascii="Garamond" w:eastAsia="宋体" w:hAnsi="Garamond" w:hint="eastAsia"/>
                <w:b/>
                <w:bCs/>
              </w:rPr>
              <w:t>科技创新推进浙江农业农村现代化研究</w:t>
            </w:r>
          </w:p>
        </w:tc>
      </w:tr>
      <w:tr>
        <w:trPr>
          <w:trHeight w:val="848"/>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：科技创新是引领农业农村现代化和高质量发展的重要驱动力。然而，目前基于生产率</w:t>
            </w:r>
            <w:r>
              <w:rPr>
                <w:rFonts w:ascii="Garamond" w:eastAsia="宋体" w:hAnsi="Garamond"/>
              </w:rPr>
              <w:t>视角对农业农村现代化进程的学术研究仍显不足，特别是科技创新对现代化进程的驱动机制尚未厘清。</w:t>
            </w:r>
            <w:r>
              <w:rPr>
                <w:rFonts w:ascii="Garamond" w:eastAsia="宋体" w:hAnsi="Garamond" w:hint="eastAsia"/>
              </w:rPr>
              <w:t>本项目拟实证研究科技创新对浙江省农业农村现代化进程的促进作用与影响机制，并提出继续鼓励科技创新、进一步促进农业农村现代化的最优路径和政策建议。</w:t>
            </w:r>
          </w:p>
        </w:tc>
      </w:tr>
      <w:tr>
        <w:trPr>
          <w:trHeight w:val="301"/>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2</w:t>
            </w:r>
            <w:r>
              <w:rPr>
                <w:rFonts w:ascii="Garamond" w:eastAsia="宋体" w:hAnsi="Garamond"/>
                <w:b/>
                <w:bCs/>
              </w:rPr>
              <w:t>：</w:t>
            </w:r>
            <w:r>
              <w:rPr>
                <w:rFonts w:ascii="Garamond" w:eastAsia="宋体" w:hAnsi="Garamond" w:hint="eastAsia"/>
                <w:b/>
                <w:bCs/>
              </w:rPr>
              <w:t>推进长三角地区农业一体化和现代化进程研究</w:t>
            </w:r>
          </w:p>
        </w:tc>
      </w:tr>
      <w:tr>
        <w:trPr>
          <w:trHeight w:val="844"/>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：长三角地区经济发展领先全国，农业发展也率先遇到“成长的烦恼”。</w:t>
            </w:r>
            <w:r>
              <w:rPr>
                <w:rFonts w:ascii="Garamond" w:eastAsia="宋体" w:hAnsi="Garamond"/>
              </w:rPr>
              <w:t>2018</w:t>
            </w:r>
            <w:r>
              <w:rPr>
                <w:rFonts w:ascii="Garamond" w:eastAsia="宋体" w:hAnsi="Garamond"/>
              </w:rPr>
              <w:t>年</w:t>
            </w:r>
            <w:r>
              <w:rPr>
                <w:rFonts w:ascii="Garamond" w:eastAsia="宋体" w:hAnsi="Garamond"/>
              </w:rPr>
              <w:t>11</w:t>
            </w:r>
            <w:r>
              <w:rPr>
                <w:rFonts w:ascii="Garamond" w:eastAsia="宋体" w:hAnsi="Garamond"/>
              </w:rPr>
              <w:t>月，习近平同志宣布，将支持长江三角洲区域一体化发展并上升为国家战略。在生产要素和环境承载力硬约束的新形势下，准确度量农业</w:t>
            </w:r>
            <w:r>
              <w:rPr>
                <w:rFonts w:ascii="Garamond" w:eastAsia="宋体" w:hAnsi="Garamond" w:hint="eastAsia"/>
              </w:rPr>
              <w:t>全要素生产率</w:t>
            </w:r>
            <w:r>
              <w:rPr>
                <w:rFonts w:ascii="Garamond" w:eastAsia="宋体" w:hAnsi="Garamond"/>
              </w:rPr>
              <w:t>及其影响因素，对推进长三角地区农业一体化和现代化进程、科学评价我省在长三角地区的农业竞争力、促进农业高质量发展具有重要的现实意义和政策参考价值。</w:t>
            </w:r>
          </w:p>
        </w:tc>
      </w:tr>
      <w:tr>
        <w:trPr>
          <w:trHeight w:val="70"/>
        </w:trPr>
        <w:tc>
          <w:tcPr>
            <w:tcW w:w="8290" w:type="dxa"/>
            <w:gridSpan w:val="5"/>
            <w:shd w:val="clear" w:color="auto" w:fill="D0CECE" w:themeFill="background2" w:themeFillShade="E6"/>
          </w:tcPr>
          <w:p>
            <w:pPr>
              <w:spacing w:line="276" w:lineRule="auto"/>
              <w:rPr>
                <w:rFonts w:ascii="Garamond" w:eastAsia="宋体" w:hAnsi="Garamond"/>
                <w:b/>
                <w:bCs/>
              </w:rPr>
            </w:pPr>
            <w:r>
              <w:rPr>
                <w:rFonts w:ascii="Garamond" w:eastAsia="宋体" w:hAnsi="Garamond"/>
                <w:b/>
                <w:bCs/>
              </w:rPr>
              <w:t>选题</w:t>
            </w:r>
            <w:r>
              <w:rPr>
                <w:rFonts w:ascii="Garamond" w:eastAsia="宋体" w:hAnsi="Garamond"/>
                <w:b/>
                <w:bCs/>
              </w:rPr>
              <w:t>3</w:t>
            </w:r>
            <w:r>
              <w:rPr>
                <w:rFonts w:ascii="Garamond" w:eastAsia="宋体" w:hAnsi="Garamond"/>
                <w:b/>
                <w:bCs/>
              </w:rPr>
              <w:t>：</w:t>
            </w:r>
            <w:r>
              <w:rPr>
                <w:rFonts w:ascii="Garamond" w:eastAsia="宋体" w:hAnsi="Garamond" w:hint="eastAsia"/>
                <w:b/>
                <w:bCs/>
              </w:rPr>
              <w:t>“八八战略”促进浙江省经济高质量发展的实证研究</w:t>
            </w:r>
          </w:p>
        </w:tc>
      </w:tr>
      <w:tr>
        <w:trPr>
          <w:trHeight w:val="700"/>
        </w:trPr>
        <w:tc>
          <w:tcPr>
            <w:tcW w:w="8290" w:type="dxa"/>
            <w:gridSpan w:val="5"/>
          </w:tcPr>
          <w:p>
            <w:pPr>
              <w:rPr>
                <w:rFonts w:ascii="Garamond" w:eastAsia="宋体" w:hAnsi="Garamond"/>
              </w:rPr>
            </w:pPr>
            <w:r>
              <w:rPr>
                <w:rFonts w:ascii="Garamond" w:eastAsia="宋体" w:hAnsi="Garamond"/>
              </w:rPr>
              <w:t>简介</w:t>
            </w:r>
            <w:r>
              <w:rPr>
                <w:rFonts w:ascii="Garamond" w:eastAsia="宋体" w:hAnsi="Garamond" w:hint="eastAsia"/>
              </w:rPr>
              <w:t>：从提出至今，历任省委带领全省人民坚定不移地实施和续写“八八战略”，将其作为引领浙江发展的总纲领和推进浙江各项工作的总方略。从</w:t>
            </w:r>
            <w:r>
              <w:rPr>
                <w:rFonts w:ascii="Garamond" w:eastAsia="宋体" w:hAnsi="Garamond"/>
              </w:rPr>
              <w:t>GDP</w:t>
            </w:r>
            <w:r>
              <w:rPr>
                <w:rFonts w:ascii="Garamond" w:eastAsia="宋体" w:hAnsi="Garamond"/>
              </w:rPr>
              <w:t>的趋势上看，</w:t>
            </w:r>
            <w:r>
              <w:rPr>
                <w:rFonts w:ascii="Garamond" w:eastAsia="宋体" w:hAnsi="Garamond"/>
              </w:rPr>
              <w:t>2003-2017</w:t>
            </w:r>
            <w:r>
              <w:rPr>
                <w:rFonts w:ascii="Garamond" w:eastAsia="宋体" w:hAnsi="Garamond"/>
              </w:rPr>
              <w:t>年间，浙江省</w:t>
            </w:r>
            <w:r>
              <w:rPr>
                <w:rFonts w:ascii="Garamond" w:eastAsia="宋体" w:hAnsi="Garamond"/>
              </w:rPr>
              <w:t>GDP</w:t>
            </w:r>
            <w:r>
              <w:rPr>
                <w:rFonts w:ascii="Garamond" w:eastAsia="宋体" w:hAnsi="Garamond"/>
              </w:rPr>
              <w:t>从</w:t>
            </w:r>
            <w:r>
              <w:rPr>
                <w:rFonts w:ascii="Garamond" w:eastAsia="宋体" w:hAnsi="Garamond"/>
              </w:rPr>
              <w:t>0.97</w:t>
            </w:r>
            <w:proofErr w:type="gramStart"/>
            <w:r>
              <w:rPr>
                <w:rFonts w:ascii="Garamond" w:eastAsia="宋体" w:hAnsi="Garamond"/>
              </w:rPr>
              <w:t>万亿</w:t>
            </w:r>
            <w:proofErr w:type="gramEnd"/>
            <w:r>
              <w:rPr>
                <w:rFonts w:ascii="Garamond" w:eastAsia="宋体" w:hAnsi="Garamond"/>
              </w:rPr>
              <w:t>元增加到</w:t>
            </w:r>
            <w:r>
              <w:rPr>
                <w:rFonts w:ascii="Garamond" w:eastAsia="宋体" w:hAnsi="Garamond"/>
              </w:rPr>
              <w:t>5.62</w:t>
            </w:r>
            <w:proofErr w:type="gramStart"/>
            <w:r>
              <w:rPr>
                <w:rFonts w:ascii="Garamond" w:eastAsia="宋体" w:hAnsi="Garamond"/>
              </w:rPr>
              <w:t>万</w:t>
            </w:r>
            <w:proofErr w:type="gramEnd"/>
            <w:r>
              <w:rPr>
                <w:rFonts w:ascii="Garamond" w:eastAsia="宋体" w:hAnsi="Garamond"/>
              </w:rPr>
              <w:t>亿元，年均增长达到</w:t>
            </w:r>
            <w:r>
              <w:rPr>
                <w:rFonts w:ascii="Garamond" w:eastAsia="宋体" w:hAnsi="Garamond"/>
              </w:rPr>
              <w:t>12.4%</w:t>
            </w:r>
            <w:r>
              <w:rPr>
                <w:rFonts w:ascii="Garamond" w:eastAsia="宋体" w:hAnsi="Garamond"/>
              </w:rPr>
              <w:t>。在资源和环境承载能力有</w:t>
            </w:r>
            <w:r>
              <w:rPr>
                <w:rFonts w:ascii="Garamond" w:eastAsia="宋体" w:hAnsi="Garamond" w:hint="eastAsia"/>
              </w:rPr>
              <w:t>限的新形势下，“八八战略”未来如何在坚持中发展，如何在继承中创新？要回答这个问题，亟待从发展质量的视角全面客观地对该政策进行评估，特别是分解每一项措施对全要素生产率的真实影响，寻找未来政策措施的立足点和着力点。</w:t>
            </w:r>
          </w:p>
        </w:tc>
      </w:tr>
      <w:tr>
        <w:trPr>
          <w:trHeight w:val="555"/>
        </w:trPr>
        <w:tc>
          <w:tcPr>
            <w:tcW w:w="8290" w:type="dxa"/>
            <w:gridSpan w:val="5"/>
          </w:tcPr>
          <w:p>
            <w:pPr>
              <w:spacing w:line="360" w:lineRule="auto"/>
              <w:jc w:val="center"/>
              <w:rPr>
                <w:rFonts w:ascii="Garamond" w:eastAsia="宋体" w:hAnsi="Garamond"/>
                <w:b/>
                <w:bCs/>
              </w:rPr>
            </w:pPr>
            <w:r>
              <w:rPr>
                <w:rFonts w:ascii="Garamond" w:eastAsia="宋体" w:hAnsi="Garamond" w:hint="eastAsia"/>
                <w:b/>
                <w:bCs/>
              </w:rPr>
              <w:t>对</w:t>
            </w:r>
            <w:r>
              <w:rPr>
                <w:rFonts w:ascii="Garamond" w:eastAsia="宋体" w:hAnsi="Garamond" w:hint="eastAsia"/>
                <w:b/>
                <w:bCs/>
              </w:rPr>
              <w:t>MPA</w:t>
            </w:r>
            <w:r>
              <w:rPr>
                <w:rFonts w:ascii="Garamond" w:eastAsia="宋体" w:hAnsi="Garamond" w:hint="eastAsia"/>
                <w:b/>
                <w:bCs/>
              </w:rPr>
              <w:t>学生的要求</w:t>
            </w:r>
          </w:p>
        </w:tc>
      </w:tr>
      <w:tr>
        <w:trPr>
          <w:trHeight w:val="1271"/>
        </w:trPr>
        <w:tc>
          <w:tcPr>
            <w:tcW w:w="8290" w:type="dxa"/>
            <w:gridSpan w:val="5"/>
            <w:tcBorders>
              <w:bottom w:val="single" w:sz="8" w:space="0" w:color="1F3864" w:themeColor="accent1" w:themeShade="80"/>
            </w:tcBorders>
          </w:tcPr>
          <w:p>
            <w:pPr>
              <w:rPr>
                <w:rFonts w:ascii="Garamond" w:eastAsia="宋体" w:hAnsi="Garamond"/>
              </w:rPr>
            </w:pPr>
            <w:r>
              <w:rPr>
                <w:rFonts w:ascii="Garamond" w:eastAsia="宋体" w:hAnsi="Garamond" w:hint="eastAsia"/>
              </w:rPr>
              <w:t>经济学功底、特别是计量经济学功底较好的学生。主动性、求知欲较强的学生。</w:t>
            </w:r>
          </w:p>
        </w:tc>
      </w:tr>
      <w:tr>
        <w:tc>
          <w:tcPr>
            <w:tcW w:w="8290" w:type="dxa"/>
            <w:gridSpan w:val="5"/>
            <w:tcBorders>
              <w:top w:val="single" w:sz="8" w:space="0" w:color="1F3864" w:themeColor="accent1" w:themeShade="80"/>
              <w:left w:val="nil"/>
              <w:bottom w:val="nil"/>
              <w:right w:val="nil"/>
            </w:tcBorders>
          </w:tcPr>
          <w:p>
            <w:pPr>
              <w:ind w:firstLineChars="200" w:firstLine="400"/>
              <w:rPr>
                <w:rFonts w:ascii="Garamond" w:eastAsia="宋体" w:hAnsi="Garamond"/>
                <w:sz w:val="20"/>
                <w:szCs w:val="22"/>
              </w:rPr>
            </w:pPr>
          </w:p>
          <w:p>
            <w:pPr>
              <w:ind w:firstLineChars="200" w:firstLine="400"/>
              <w:rPr>
                <w:rFonts w:ascii="Garamond" w:eastAsia="宋体" w:hAnsi="Garamond"/>
                <w:sz w:val="20"/>
                <w:szCs w:val="22"/>
              </w:rPr>
            </w:pPr>
            <w:r>
              <w:rPr>
                <w:rFonts w:ascii="Garamond" w:eastAsia="宋体" w:hAnsi="Garamond" w:hint="eastAsia"/>
                <w:sz w:val="20"/>
                <w:szCs w:val="22"/>
              </w:rPr>
              <w:t>本表更新时间：</w:t>
            </w:r>
            <w:r>
              <w:rPr>
                <w:rFonts w:ascii="Garamond" w:eastAsia="宋体" w:hAnsi="Garamond" w:hint="eastAsia"/>
                <w:sz w:val="20"/>
                <w:szCs w:val="22"/>
              </w:rPr>
              <w:t>2</w:t>
            </w:r>
            <w:r>
              <w:rPr>
                <w:rFonts w:ascii="Garamond" w:eastAsia="宋体" w:hAnsi="Garamond"/>
                <w:sz w:val="20"/>
                <w:szCs w:val="22"/>
              </w:rPr>
              <w:t>023</w:t>
            </w:r>
            <w:r>
              <w:rPr>
                <w:rFonts w:ascii="Garamond" w:eastAsia="宋体" w:hAnsi="Garamond" w:hint="eastAsia"/>
                <w:sz w:val="20"/>
                <w:szCs w:val="22"/>
              </w:rPr>
              <w:t>年</w:t>
            </w:r>
            <w:r>
              <w:rPr>
                <w:rFonts w:ascii="Garamond" w:eastAsia="宋体" w:hAnsi="Garamond"/>
                <w:sz w:val="20"/>
                <w:szCs w:val="22"/>
              </w:rPr>
              <w:t>4</w:t>
            </w:r>
            <w:r>
              <w:rPr>
                <w:rFonts w:ascii="Garamond" w:eastAsia="宋体" w:hAnsi="Garamond" w:hint="eastAsia"/>
                <w:sz w:val="20"/>
                <w:szCs w:val="22"/>
              </w:rPr>
              <w:t>月</w:t>
            </w:r>
          </w:p>
          <w:p>
            <w:pPr>
              <w:ind w:firstLineChars="200" w:firstLine="400"/>
              <w:rPr>
                <w:rFonts w:ascii="Garamond" w:eastAsia="宋体" w:hAnsi="Garamond"/>
                <w:sz w:val="20"/>
                <w:szCs w:val="22"/>
              </w:rPr>
            </w:pPr>
            <w:r>
              <w:rPr>
                <w:rFonts w:ascii="Garamond" w:eastAsia="宋体" w:hAnsi="Garamond" w:hint="eastAsia"/>
                <w:sz w:val="20"/>
                <w:szCs w:val="22"/>
              </w:rPr>
              <w:t>本表用于</w:t>
            </w:r>
            <w:r>
              <w:rPr>
                <w:rFonts w:ascii="Garamond" w:eastAsia="宋体" w:hAnsi="Garamond" w:hint="eastAsia"/>
                <w:sz w:val="20"/>
                <w:szCs w:val="22"/>
              </w:rPr>
              <w:t>MPA</w:t>
            </w:r>
            <w:r>
              <w:rPr>
                <w:rFonts w:ascii="Garamond" w:eastAsia="宋体" w:hAnsi="Garamond" w:hint="eastAsia"/>
                <w:sz w:val="20"/>
                <w:szCs w:val="22"/>
              </w:rPr>
              <w:t>项目师生双向选择。有关导师的详细信息请点击浙江大学教师个人主页获取。</w:t>
            </w:r>
          </w:p>
        </w:tc>
      </w:tr>
    </w:tbl>
    <w:p>
      <w:pPr>
        <w:rPr>
          <w:rFonts w:ascii="Garamond" w:eastAsia="宋体" w:hAnsi="Garamond"/>
        </w:rPr>
      </w:pPr>
      <w:bookmarkStart w:id="0" w:name="_GoBack"/>
      <w:bookmarkEnd w:id="0"/>
    </w:p>
    <w:sectPr>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13B859-03BF-4C91-90F9-CF969A352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basedOn w:val="a0"/>
    <w:link w:val="a7"/>
    <w:uiPriority w:val="99"/>
    <w:rPr>
      <w:sz w:val="18"/>
      <w:szCs w:val="18"/>
    </w:rPr>
  </w:style>
  <w:style w:type="paragraph" w:styleId="a9">
    <w:name w:val="Balloon Text"/>
    <w:basedOn w:val="a"/>
    <w:link w:val="aa"/>
    <w:uiPriority w:val="99"/>
    <w:semiHidden/>
    <w:unhideWhenUsed/>
    <w:rPr>
      <w:sz w:val="18"/>
      <w:szCs w:val="18"/>
    </w:rPr>
  </w:style>
  <w:style w:type="character" w:customStyle="1" w:styleId="aa">
    <w:name w:val="批注框文本 字符"/>
    <w:basedOn w:val="a0"/>
    <w:link w:val="a9"/>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Company>ZJU</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Xiang Gao</dc:creator>
  <cp:lastModifiedBy>DELL</cp:lastModifiedBy>
  <cp:revision>3</cp:revision>
  <dcterms:created xsi:type="dcterms:W3CDTF">2019-10-29T09:17:00Z</dcterms:created>
  <dcterms:modified xsi:type="dcterms:W3CDTF">2023-04-10T06:52:00Z</dcterms:modified>
</cp:coreProperties>
</file>