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1276"/>
        <w:gridCol w:w="992"/>
        <w:gridCol w:w="2820"/>
        <w:gridCol w:w="2073"/>
      </w:tblGrid>
      <w:tr>
        <w:tc>
          <w:tcPr>
            <w:tcW w:w="8290" w:type="dxa"/>
            <w:gridSpan w:val="5"/>
            <w:tcBorders>
              <w:top w:val="nil"/>
              <w:left w:val="nil"/>
              <w:bottom w:val="single" w:color="1F3864" w:themeColor="accent1" w:themeShade="80" w:sz="8" w:space="0"/>
              <w:right w:val="nil"/>
            </w:tcBorders>
          </w:tcPr>
          <w:p>
            <w:pPr>
              <w:spacing w:line="480" w:lineRule="auto"/>
              <w:jc w:val="center"/>
              <w:rPr>
                <w:rFonts w:ascii="Garamond" w:hAnsi="Garamond" w:eastAsia="宋体"/>
                <w:b/>
                <w:bCs/>
                <w:sz w:val="24"/>
                <w:szCs w:val="32"/>
              </w:rPr>
            </w:pPr>
            <w:r>
              <w:rPr>
                <w:rFonts w:ascii="Garamond" w:hAnsi="Garamond" w:eastAsia="宋体"/>
                <w:b/>
                <w:bCs/>
                <w:sz w:val="24"/>
                <w:szCs w:val="32"/>
              </w:rPr>
              <w:t>浙江大学MPA专业导师信息表</w:t>
            </w:r>
          </w:p>
        </w:tc>
      </w:tr>
      <w:tr>
        <w:tc>
          <w:tcPr>
            <w:tcW w:w="1129" w:type="dxa"/>
            <w:tcBorders>
              <w:top w:val="single" w:color="1F3864" w:themeColor="accent1" w:themeShade="80" w:sz="8" w:space="0"/>
            </w:tcBorders>
          </w:tcPr>
          <w:p>
            <w:pPr>
              <w:spacing w:line="276" w:lineRule="auto"/>
              <w:jc w:val="distribute"/>
              <w:rPr>
                <w:rFonts w:ascii="Garamond" w:hAnsi="Garamond" w:eastAsia="宋体"/>
              </w:rPr>
            </w:pPr>
            <w:r>
              <w:rPr>
                <w:rFonts w:ascii="Garamond" w:hAnsi="Garamond" w:eastAsia="宋体"/>
              </w:rPr>
              <w:t>姓名</w:t>
            </w:r>
          </w:p>
        </w:tc>
        <w:tc>
          <w:tcPr>
            <w:tcW w:w="1276" w:type="dxa"/>
            <w:tcBorders>
              <w:top w:val="single" w:color="1F3864" w:themeColor="accent1" w:themeShade="80" w:sz="8" w:space="0"/>
            </w:tcBorders>
          </w:tcPr>
          <w:p>
            <w:pPr>
              <w:spacing w:line="276" w:lineRule="auto"/>
              <w:rPr>
                <w:rFonts w:hint="eastAsia" w:ascii="Garamond" w:hAnsi="Garamond" w:eastAsia="宋体"/>
                <w:lang w:val="en-US" w:eastAsia="zh-Hans"/>
              </w:rPr>
            </w:pPr>
            <w:r>
              <w:rPr>
                <w:rFonts w:hint="eastAsia" w:ascii="Garamond" w:hAnsi="Garamond" w:eastAsia="宋体"/>
                <w:lang w:val="en-US" w:eastAsia="zh-Hans"/>
              </w:rPr>
              <w:t>吴超</w:t>
            </w:r>
          </w:p>
        </w:tc>
        <w:tc>
          <w:tcPr>
            <w:tcW w:w="992" w:type="dxa"/>
            <w:tcBorders>
              <w:top w:val="single" w:color="1F3864" w:themeColor="accent1" w:themeShade="80" w:sz="8" w:space="0"/>
            </w:tcBorders>
          </w:tcPr>
          <w:p>
            <w:pPr>
              <w:spacing w:line="276" w:lineRule="auto"/>
              <w:rPr>
                <w:rFonts w:ascii="Garamond" w:hAnsi="Garamond" w:eastAsia="宋体"/>
              </w:rPr>
            </w:pPr>
            <w:r>
              <w:rPr>
                <w:rFonts w:ascii="Garamond" w:hAnsi="Garamond" w:eastAsia="宋体"/>
              </w:rPr>
              <w:t>职称</w:t>
            </w:r>
          </w:p>
        </w:tc>
        <w:tc>
          <w:tcPr>
            <w:tcW w:w="2820" w:type="dxa"/>
            <w:tcBorders>
              <w:top w:val="single" w:color="1F3864" w:themeColor="accent1" w:themeShade="80" w:sz="8" w:space="0"/>
            </w:tcBorders>
          </w:tcPr>
          <w:p>
            <w:pPr>
              <w:spacing w:line="276" w:lineRule="auto"/>
              <w:rPr>
                <w:rFonts w:hint="default" w:ascii="Garamond" w:hAnsi="Garamond" w:eastAsia="宋体"/>
                <w:lang w:val="en-US" w:eastAsia="zh-Hans"/>
              </w:rPr>
            </w:pPr>
            <w:r>
              <w:rPr>
                <w:rFonts w:hint="eastAsia" w:ascii="Garamond" w:hAnsi="Garamond" w:eastAsia="宋体"/>
                <w:lang w:val="en-US" w:eastAsia="zh-Hans"/>
              </w:rPr>
              <w:t>长聘副教授</w:t>
            </w:r>
          </w:p>
        </w:tc>
        <w:tc>
          <w:tcPr>
            <w:tcW w:w="2073" w:type="dxa"/>
            <w:vMerge w:val="restart"/>
            <w:tcBorders>
              <w:top w:val="single" w:color="1F3864" w:themeColor="accent1" w:themeShade="80" w:sz="8" w:space="0"/>
            </w:tcBorders>
          </w:tcPr>
          <w:p>
            <w:pPr>
              <w:spacing w:line="276" w:lineRule="auto"/>
              <w:rPr>
                <w:rFonts w:ascii="Garamond" w:hAnsi="Garamond" w:eastAsia="宋体"/>
              </w:rPr>
            </w:pPr>
          </w:p>
          <w:p>
            <w:pPr>
              <w:spacing w:line="276" w:lineRule="auto"/>
              <w:ind w:firstLine="210" w:firstLineChars="100"/>
              <w:rPr>
                <w:rFonts w:ascii="Garamond" w:hAnsi="Garamond" w:eastAsia="宋体"/>
              </w:rPr>
            </w:pPr>
            <w:r>
              <w:rPr>
                <w:rFonts w:ascii="Garamond" w:hAnsi="Garamond" w:eastAsia="宋体"/>
              </w:rPr>
              <w:t>照片（如有）</w:t>
            </w:r>
          </w:p>
        </w:tc>
      </w:tr>
      <w:tr>
        <w:tc>
          <w:tcPr>
            <w:tcW w:w="1129" w:type="dxa"/>
          </w:tcPr>
          <w:p>
            <w:pPr>
              <w:spacing w:line="276" w:lineRule="auto"/>
              <w:jc w:val="distribute"/>
              <w:rPr>
                <w:rFonts w:ascii="Garamond" w:hAnsi="Garamond" w:eastAsia="宋体"/>
              </w:rPr>
            </w:pPr>
            <w:r>
              <w:rPr>
                <w:rFonts w:ascii="Garamond" w:hAnsi="Garamond" w:eastAsia="宋体"/>
              </w:rPr>
              <w:t>性别</w:t>
            </w:r>
          </w:p>
        </w:tc>
        <w:tc>
          <w:tcPr>
            <w:tcW w:w="1276" w:type="dxa"/>
          </w:tcPr>
          <w:p>
            <w:pPr>
              <w:spacing w:line="276" w:lineRule="auto"/>
              <w:rPr>
                <w:rFonts w:hint="eastAsia" w:ascii="Garamond" w:hAnsi="Garamond" w:eastAsia="宋体"/>
                <w:lang w:val="en-US" w:eastAsia="zh-Hans"/>
              </w:rPr>
            </w:pPr>
            <w:r>
              <w:rPr>
                <w:rFonts w:hint="eastAsia" w:ascii="Garamond" w:hAnsi="Garamond" w:eastAsia="宋体"/>
                <w:lang w:val="en-US" w:eastAsia="zh-Hans"/>
              </w:rPr>
              <w:t>男</w:t>
            </w:r>
          </w:p>
        </w:tc>
        <w:tc>
          <w:tcPr>
            <w:tcW w:w="992" w:type="dxa"/>
          </w:tcPr>
          <w:p>
            <w:pPr>
              <w:spacing w:line="276" w:lineRule="auto"/>
              <w:rPr>
                <w:rFonts w:ascii="Garamond" w:hAnsi="Garamond" w:eastAsia="宋体"/>
              </w:rPr>
            </w:pPr>
            <w:r>
              <w:rPr>
                <w:rFonts w:ascii="Garamond" w:hAnsi="Garamond" w:eastAsia="宋体"/>
              </w:rPr>
              <w:t>研究所</w:t>
            </w:r>
          </w:p>
        </w:tc>
        <w:tc>
          <w:tcPr>
            <w:tcW w:w="2820" w:type="dxa"/>
          </w:tcPr>
          <w:p>
            <w:pPr>
              <w:spacing w:line="276" w:lineRule="auto"/>
              <w:rPr>
                <w:rFonts w:hint="default" w:ascii="Garamond" w:hAnsi="Garamond" w:eastAsia="宋体"/>
                <w:lang w:val="en-US" w:eastAsia="zh-Hans"/>
              </w:rPr>
            </w:pPr>
            <w:r>
              <w:rPr>
                <w:rFonts w:hint="eastAsia" w:ascii="Garamond" w:hAnsi="Garamond" w:eastAsia="宋体"/>
                <w:lang w:val="en-US" w:eastAsia="zh-Hans"/>
              </w:rPr>
              <w:t>行政管理</w:t>
            </w:r>
          </w:p>
        </w:tc>
        <w:tc>
          <w:tcPr>
            <w:tcW w:w="2073" w:type="dxa"/>
            <w:vMerge w:val="continue"/>
          </w:tcPr>
          <w:p>
            <w:pPr>
              <w:spacing w:line="276" w:lineRule="auto"/>
              <w:rPr>
                <w:rFonts w:ascii="Garamond" w:hAnsi="Garamond" w:eastAsia="宋体"/>
              </w:rPr>
            </w:pPr>
          </w:p>
        </w:tc>
      </w:tr>
      <w:tr>
        <w:tc>
          <w:tcPr>
            <w:tcW w:w="1129" w:type="dxa"/>
          </w:tcPr>
          <w:p>
            <w:pPr>
              <w:spacing w:line="276" w:lineRule="auto"/>
              <w:jc w:val="distribute"/>
              <w:rPr>
                <w:rFonts w:ascii="Garamond" w:hAnsi="Garamond" w:eastAsia="宋体"/>
              </w:rPr>
            </w:pPr>
            <w:r>
              <w:rPr>
                <w:rFonts w:ascii="Garamond" w:hAnsi="Garamond" w:eastAsia="宋体"/>
              </w:rPr>
              <w:t>电子邮箱</w:t>
            </w:r>
          </w:p>
        </w:tc>
        <w:tc>
          <w:tcPr>
            <w:tcW w:w="5088" w:type="dxa"/>
            <w:gridSpan w:val="3"/>
          </w:tcPr>
          <w:p>
            <w:pPr>
              <w:spacing w:line="276" w:lineRule="auto"/>
              <w:rPr>
                <w:rFonts w:hint="eastAsia" w:ascii="Garamond" w:hAnsi="Garamond" w:eastAsia="宋体"/>
                <w:lang w:val="en-US" w:eastAsia="zh-Hans"/>
              </w:rPr>
            </w:pPr>
            <w:r>
              <w:rPr>
                <w:rFonts w:hint="eastAsia" w:ascii="Garamond" w:hAnsi="Garamond" w:eastAsia="宋体"/>
                <w:lang w:val="en-US" w:eastAsia="zh-Hans"/>
              </w:rPr>
              <w:t>chao.wu@zju.edu.cn</w:t>
            </w:r>
          </w:p>
        </w:tc>
        <w:tc>
          <w:tcPr>
            <w:tcW w:w="2073" w:type="dxa"/>
            <w:vMerge w:val="continue"/>
          </w:tcPr>
          <w:p>
            <w:pPr>
              <w:spacing w:line="276" w:lineRule="auto"/>
              <w:rPr>
                <w:rFonts w:ascii="Garamond" w:hAnsi="Garamond" w:eastAsia="宋体"/>
              </w:rPr>
            </w:pPr>
          </w:p>
        </w:tc>
      </w:tr>
      <w:tr>
        <w:tc>
          <w:tcPr>
            <w:tcW w:w="6217" w:type="dxa"/>
            <w:gridSpan w:val="4"/>
          </w:tcPr>
          <w:p>
            <w:pPr>
              <w:spacing w:line="276" w:lineRule="auto"/>
              <w:rPr>
                <w:rFonts w:ascii="Garamond" w:hAnsi="Garamond" w:eastAsia="宋体"/>
                <w:b/>
              </w:rPr>
            </w:pPr>
            <w:r>
              <w:rPr>
                <w:rFonts w:ascii="Garamond" w:hAnsi="Garamond" w:eastAsia="宋体"/>
                <w:b/>
              </w:rPr>
              <w:t xml:space="preserve">个人主页： </w:t>
            </w:r>
            <w:r>
              <w:rPr>
                <w:rFonts w:hint="eastAsia" w:ascii="Garamond" w:hAnsi="Garamond" w:eastAsia="宋体"/>
                <w:b/>
              </w:rPr>
              <w:t>https://person.zju.edu.cn/chaowu</w:t>
            </w:r>
          </w:p>
        </w:tc>
        <w:tc>
          <w:tcPr>
            <w:tcW w:w="2073" w:type="dxa"/>
            <w:vMerge w:val="continue"/>
          </w:tcPr>
          <w:p>
            <w:pPr>
              <w:spacing w:line="276" w:lineRule="auto"/>
              <w:rPr>
                <w:rFonts w:ascii="Garamond" w:hAnsi="Garamond" w:eastAsia="宋体"/>
              </w:rPr>
            </w:pPr>
          </w:p>
        </w:tc>
      </w:tr>
      <w:tr>
        <w:tc>
          <w:tcPr>
            <w:tcW w:w="8290" w:type="dxa"/>
            <w:gridSpan w:val="5"/>
          </w:tcPr>
          <w:p>
            <w:pPr>
              <w:spacing w:line="360" w:lineRule="auto"/>
              <w:jc w:val="center"/>
              <w:rPr>
                <w:rFonts w:ascii="Garamond" w:hAnsi="Garamond" w:eastAsia="宋体"/>
                <w:b/>
                <w:bCs/>
              </w:rPr>
            </w:pPr>
            <w:r>
              <w:rPr>
                <w:rFonts w:ascii="Garamond" w:hAnsi="Garamond" w:eastAsia="宋体"/>
                <w:b/>
                <w:bCs/>
              </w:rPr>
              <w:t>拟带MPA学生的论文选题方向</w:t>
            </w:r>
          </w:p>
        </w:tc>
      </w:tr>
      <w:tr>
        <w:trPr>
          <w:trHeight w:val="582" w:hRule="atLeast"/>
        </w:trPr>
        <w:tc>
          <w:tcPr>
            <w:tcW w:w="8290" w:type="dxa"/>
            <w:gridSpan w:val="5"/>
            <w:shd w:val="clear" w:color="auto" w:fill="D0CECE" w:themeFill="background2" w:themeFillShade="E6"/>
          </w:tcPr>
          <w:p>
            <w:pPr>
              <w:spacing w:line="276" w:lineRule="auto"/>
              <w:rPr>
                <w:rFonts w:hint="default" w:ascii="Garamond" w:hAnsi="Garamond" w:eastAsia="宋体"/>
                <w:b/>
                <w:bCs/>
                <w:lang w:val="en-US" w:eastAsia="zh-Hans"/>
              </w:rPr>
            </w:pPr>
            <w:r>
              <w:rPr>
                <w:rFonts w:ascii="Garamond" w:hAnsi="Garamond" w:eastAsia="宋体"/>
                <w:b/>
                <w:bCs/>
              </w:rPr>
              <w:t xml:space="preserve">选题1： </w:t>
            </w:r>
            <w:r>
              <w:rPr>
                <w:rFonts w:hint="eastAsia" w:ascii="Garamond" w:hAnsi="Garamond" w:eastAsia="宋体"/>
                <w:b/>
                <w:bCs/>
                <w:lang w:val="en-US" w:eastAsia="zh-Hans"/>
              </w:rPr>
              <w:t>数字政府建设的体系和标准</w:t>
            </w:r>
          </w:p>
        </w:tc>
      </w:tr>
      <w:tr>
        <w:trPr>
          <w:trHeight w:val="848" w:hRule="atLeast"/>
        </w:trPr>
        <w:tc>
          <w:tcPr>
            <w:tcW w:w="8290" w:type="dxa"/>
            <w:gridSpan w:val="5"/>
          </w:tcPr>
          <w:p>
            <w:pPr>
              <w:rPr>
                <w:rFonts w:hint="default" w:ascii="Garamond" w:hAnsi="Garamond" w:eastAsia="宋体"/>
                <w:lang w:val="en-US" w:eastAsia="zh-Hans"/>
              </w:rPr>
            </w:pPr>
            <w:r>
              <w:rPr>
                <w:rFonts w:ascii="Garamond" w:hAnsi="Garamond" w:eastAsia="宋体"/>
              </w:rPr>
              <w:t>简介</w:t>
            </w:r>
            <w:r>
              <w:rPr>
                <w:rFonts w:hint="eastAsia" w:ascii="Garamond" w:hAnsi="Garamond" w:eastAsia="宋体"/>
              </w:rPr>
              <w:t>：</w:t>
            </w:r>
            <w:r>
              <w:rPr>
                <w:rFonts w:ascii="Garamond" w:hAnsi="Garamond" w:eastAsia="宋体"/>
              </w:rPr>
              <w:t xml:space="preserve"> </w:t>
            </w:r>
            <w:r>
              <w:rPr>
                <w:rFonts w:hint="eastAsia" w:ascii="Garamond" w:hAnsi="Garamond" w:eastAsia="宋体"/>
                <w:lang w:val="en-US" w:eastAsia="zh-Hans"/>
              </w:rPr>
              <w:t>研究数字政府建设的理论框架</w:t>
            </w:r>
            <w:r>
              <w:rPr>
                <w:rFonts w:hint="default" w:ascii="Garamond" w:hAnsi="Garamond" w:eastAsia="宋体"/>
                <w:lang w:eastAsia="zh-Hans"/>
              </w:rPr>
              <w:t>、</w:t>
            </w:r>
            <w:r>
              <w:rPr>
                <w:rFonts w:hint="eastAsia" w:ascii="Garamond" w:hAnsi="Garamond" w:eastAsia="宋体"/>
                <w:lang w:val="en-US" w:eastAsia="zh-Hans"/>
              </w:rPr>
              <w:t>技术架构和评价标准</w:t>
            </w:r>
            <w:r>
              <w:rPr>
                <w:rFonts w:hint="default" w:ascii="Garamond" w:hAnsi="Garamond" w:eastAsia="宋体"/>
                <w:lang w:eastAsia="zh-Hans"/>
              </w:rPr>
              <w:t>，</w:t>
            </w:r>
            <w:r>
              <w:rPr>
                <w:rFonts w:hint="eastAsia" w:ascii="Garamond" w:hAnsi="Garamond" w:eastAsia="宋体"/>
                <w:lang w:val="en-US" w:eastAsia="zh-Hans"/>
              </w:rPr>
              <w:t>梳理各地实践</w:t>
            </w:r>
            <w:r>
              <w:rPr>
                <w:rFonts w:hint="default" w:ascii="Garamond" w:hAnsi="Garamond" w:eastAsia="宋体"/>
                <w:lang w:eastAsia="zh-Hans"/>
              </w:rPr>
              <w:t>，</w:t>
            </w:r>
            <w:r>
              <w:rPr>
                <w:rFonts w:hint="eastAsia" w:ascii="Garamond" w:hAnsi="Garamond" w:eastAsia="宋体"/>
                <w:lang w:val="en-US" w:eastAsia="zh-Hans"/>
              </w:rPr>
              <w:t>建立数字政府建设案例库</w:t>
            </w:r>
            <w:r>
              <w:rPr>
                <w:rFonts w:hint="default" w:ascii="Garamond" w:hAnsi="Garamond" w:eastAsia="宋体"/>
                <w:lang w:eastAsia="zh-Hans"/>
              </w:rPr>
              <w:t>，</w:t>
            </w:r>
            <w:bookmarkStart w:id="0" w:name="_GoBack"/>
            <w:bookmarkEnd w:id="0"/>
            <w:r>
              <w:rPr>
                <w:rFonts w:hint="eastAsia" w:ascii="Garamond" w:hAnsi="Garamond" w:eastAsia="宋体"/>
                <w:lang w:val="en-US" w:eastAsia="zh-Hans"/>
              </w:rPr>
              <w:t>提出较为规范的分析框架和实施范式</w:t>
            </w:r>
          </w:p>
        </w:tc>
      </w:tr>
      <w:tr>
        <w:trPr>
          <w:trHeight w:val="597" w:hRule="atLeast"/>
        </w:trPr>
        <w:tc>
          <w:tcPr>
            <w:tcW w:w="8290" w:type="dxa"/>
            <w:gridSpan w:val="5"/>
            <w:shd w:val="clear" w:color="auto" w:fill="D0CECE" w:themeFill="background2" w:themeFillShade="E6"/>
          </w:tcPr>
          <w:p>
            <w:pPr>
              <w:spacing w:line="276" w:lineRule="auto"/>
              <w:rPr>
                <w:rFonts w:hint="default" w:ascii="Garamond" w:hAnsi="Garamond" w:eastAsia="宋体"/>
                <w:b/>
                <w:bCs/>
                <w:lang w:val="en-US" w:eastAsia="zh-Hans"/>
              </w:rPr>
            </w:pPr>
            <w:r>
              <w:rPr>
                <w:rFonts w:ascii="Garamond" w:hAnsi="Garamond" w:eastAsia="宋体"/>
                <w:b/>
                <w:bCs/>
              </w:rPr>
              <w:t xml:space="preserve">选题2： </w:t>
            </w:r>
            <w:r>
              <w:rPr>
                <w:rFonts w:hint="eastAsia" w:ascii="Garamond" w:hAnsi="Garamond" w:eastAsia="宋体"/>
                <w:b/>
                <w:bCs/>
                <w:lang w:val="en-US" w:eastAsia="zh-Hans"/>
              </w:rPr>
              <w:t>人工智能大模型背景下的社会治理</w:t>
            </w:r>
          </w:p>
        </w:tc>
      </w:tr>
      <w:tr>
        <w:trPr>
          <w:trHeight w:val="844" w:hRule="atLeast"/>
        </w:trPr>
        <w:tc>
          <w:tcPr>
            <w:tcW w:w="8290" w:type="dxa"/>
            <w:gridSpan w:val="5"/>
          </w:tcPr>
          <w:p>
            <w:pPr>
              <w:rPr>
                <w:rFonts w:hint="default" w:ascii="Garamond" w:hAnsi="Garamond" w:eastAsia="宋体"/>
                <w:lang w:val="en-US" w:eastAsia="zh-Hans"/>
              </w:rPr>
            </w:pPr>
            <w:r>
              <w:rPr>
                <w:rFonts w:ascii="Garamond" w:hAnsi="Garamond" w:eastAsia="宋体"/>
              </w:rPr>
              <w:t>简介</w:t>
            </w:r>
            <w:r>
              <w:rPr>
                <w:rFonts w:hint="eastAsia" w:ascii="Garamond" w:hAnsi="Garamond" w:eastAsia="宋体"/>
              </w:rPr>
              <w:t>：</w:t>
            </w:r>
            <w:r>
              <w:rPr>
                <w:rFonts w:ascii="Garamond" w:hAnsi="Garamond" w:eastAsia="宋体"/>
              </w:rPr>
              <w:t xml:space="preserve"> </w:t>
            </w:r>
            <w:r>
              <w:rPr>
                <w:rFonts w:hint="eastAsia" w:ascii="Garamond" w:hAnsi="Garamond" w:eastAsia="宋体"/>
                <w:lang w:val="en-US" w:eastAsia="zh-Hans"/>
              </w:rPr>
              <w:t>以ChatGPT为代表的人工智能大模型已经对社会的基本运行规范造成了很大冲击</w:t>
            </w:r>
            <w:r>
              <w:rPr>
                <w:rFonts w:hint="default" w:ascii="Garamond" w:hAnsi="Garamond" w:eastAsia="宋体"/>
                <w:lang w:eastAsia="zh-Hans"/>
              </w:rPr>
              <w:t>，</w:t>
            </w:r>
            <w:r>
              <w:rPr>
                <w:rFonts w:hint="eastAsia" w:ascii="Garamond" w:hAnsi="Garamond" w:eastAsia="宋体"/>
                <w:lang w:val="en-US" w:eastAsia="zh-Hans"/>
              </w:rPr>
              <w:t>如何在此技术背景下研究有哪些新的社会治理问题</w:t>
            </w:r>
            <w:r>
              <w:rPr>
                <w:rFonts w:hint="default" w:ascii="Garamond" w:hAnsi="Garamond" w:eastAsia="宋体"/>
                <w:lang w:eastAsia="zh-Hans"/>
              </w:rPr>
              <w:t>，</w:t>
            </w:r>
            <w:r>
              <w:rPr>
                <w:rFonts w:hint="eastAsia" w:ascii="Garamond" w:hAnsi="Garamond" w:eastAsia="宋体"/>
                <w:lang w:val="en-US" w:eastAsia="zh-Hans"/>
              </w:rPr>
              <w:t>并创新社会治理方法</w:t>
            </w:r>
          </w:p>
        </w:tc>
      </w:tr>
      <w:tr>
        <w:trPr>
          <w:trHeight w:val="659" w:hRule="atLeast"/>
        </w:trPr>
        <w:tc>
          <w:tcPr>
            <w:tcW w:w="8290" w:type="dxa"/>
            <w:gridSpan w:val="5"/>
            <w:shd w:val="clear" w:color="auto" w:fill="D0CECE" w:themeFill="background2" w:themeFillShade="E6"/>
          </w:tcPr>
          <w:p>
            <w:pPr>
              <w:spacing w:line="276" w:lineRule="auto"/>
              <w:rPr>
                <w:rFonts w:hint="default" w:ascii="Garamond" w:hAnsi="Garamond" w:eastAsia="宋体"/>
                <w:b/>
                <w:bCs/>
                <w:lang w:val="en-US" w:eastAsia="zh-Hans"/>
              </w:rPr>
            </w:pPr>
            <w:r>
              <w:rPr>
                <w:rFonts w:ascii="Garamond" w:hAnsi="Garamond" w:eastAsia="宋体"/>
                <w:b/>
                <w:bCs/>
              </w:rPr>
              <w:t xml:space="preserve">选题3： </w:t>
            </w:r>
            <w:r>
              <w:rPr>
                <w:rFonts w:hint="eastAsia" w:ascii="Garamond" w:hAnsi="Garamond" w:eastAsia="宋体"/>
                <w:b/>
                <w:bCs/>
                <w:lang w:val="en-US" w:eastAsia="zh-Hans"/>
              </w:rPr>
              <w:t>数字化改革驱动下的政府组织流程再造</w:t>
            </w:r>
          </w:p>
        </w:tc>
      </w:tr>
      <w:tr>
        <w:trPr>
          <w:trHeight w:val="700" w:hRule="atLeast"/>
        </w:trPr>
        <w:tc>
          <w:tcPr>
            <w:tcW w:w="8290" w:type="dxa"/>
            <w:gridSpan w:val="5"/>
          </w:tcPr>
          <w:p>
            <w:pPr>
              <w:rPr>
                <w:rFonts w:hint="default" w:ascii="Garamond" w:hAnsi="Garamond" w:eastAsia="宋体"/>
                <w:lang w:val="en-US" w:eastAsia="zh-Hans"/>
              </w:rPr>
            </w:pPr>
            <w:r>
              <w:rPr>
                <w:rFonts w:ascii="Garamond" w:hAnsi="Garamond" w:eastAsia="宋体"/>
              </w:rPr>
              <w:t>简介</w:t>
            </w:r>
            <w:r>
              <w:rPr>
                <w:rFonts w:hint="eastAsia" w:ascii="Garamond" w:hAnsi="Garamond" w:eastAsia="宋体"/>
              </w:rPr>
              <w:t>：</w:t>
            </w:r>
            <w:r>
              <w:rPr>
                <w:rFonts w:ascii="Garamond" w:hAnsi="Garamond" w:eastAsia="宋体"/>
              </w:rPr>
              <w:t xml:space="preserve"> </w:t>
            </w:r>
            <w:r>
              <w:rPr>
                <w:rFonts w:hint="eastAsia" w:ascii="Garamond" w:hAnsi="Garamond" w:eastAsia="宋体"/>
                <w:lang w:val="en-US" w:eastAsia="zh-Hans"/>
              </w:rPr>
              <w:t>从政府组织流程再造的角度来考察数字化转型中的核心技术</w:t>
            </w:r>
            <w:r>
              <w:rPr>
                <w:rFonts w:hint="default" w:ascii="Garamond" w:hAnsi="Garamond" w:eastAsia="宋体"/>
                <w:lang w:eastAsia="zh-Hans"/>
              </w:rPr>
              <w:t>、</w:t>
            </w:r>
            <w:r>
              <w:rPr>
                <w:rFonts w:hint="eastAsia" w:ascii="Garamond" w:hAnsi="Garamond" w:eastAsia="宋体"/>
                <w:lang w:val="en-US" w:eastAsia="zh-Hans"/>
              </w:rPr>
              <w:t>实施路径和相关案例</w:t>
            </w:r>
          </w:p>
        </w:tc>
      </w:tr>
      <w:tr>
        <w:trPr>
          <w:trHeight w:val="555" w:hRule="atLeast"/>
        </w:trPr>
        <w:tc>
          <w:tcPr>
            <w:tcW w:w="8290" w:type="dxa"/>
            <w:gridSpan w:val="5"/>
          </w:tcPr>
          <w:p>
            <w:pPr>
              <w:spacing w:line="360" w:lineRule="auto"/>
              <w:jc w:val="center"/>
              <w:rPr>
                <w:rFonts w:ascii="Garamond" w:hAnsi="Garamond" w:eastAsia="宋体"/>
                <w:b/>
                <w:bCs/>
              </w:rPr>
            </w:pPr>
            <w:r>
              <w:rPr>
                <w:rFonts w:hint="eastAsia" w:ascii="Garamond" w:hAnsi="Garamond" w:eastAsia="宋体"/>
                <w:b/>
                <w:bCs/>
              </w:rPr>
              <w:t>对MPA学生的要求</w:t>
            </w:r>
          </w:p>
        </w:tc>
      </w:tr>
      <w:tr>
        <w:trPr>
          <w:trHeight w:val="1271" w:hRule="atLeast"/>
        </w:trPr>
        <w:tc>
          <w:tcPr>
            <w:tcW w:w="8290" w:type="dxa"/>
            <w:gridSpan w:val="5"/>
            <w:tcBorders>
              <w:bottom w:val="single" w:color="1F3864" w:themeColor="accent1" w:themeShade="80" w:sz="8" w:space="0"/>
            </w:tcBorders>
          </w:tcPr>
          <w:p>
            <w:pPr>
              <w:rPr>
                <w:rFonts w:ascii="Garamond" w:hAnsi="Garamond" w:eastAsia="宋体"/>
              </w:rPr>
            </w:pPr>
          </w:p>
          <w:p>
            <w:pPr>
              <w:rPr>
                <w:rFonts w:hint="default" w:ascii="Garamond" w:hAnsi="Garamond" w:eastAsia="宋体"/>
                <w:lang w:val="en-US" w:eastAsia="zh-Hans"/>
              </w:rPr>
            </w:pPr>
            <w:r>
              <w:rPr>
                <w:rFonts w:hint="eastAsia" w:ascii="Garamond" w:hAnsi="Garamond" w:eastAsia="宋体"/>
                <w:lang w:val="en-US" w:eastAsia="zh-Hans"/>
              </w:rPr>
              <w:t>有数字化改革相关经验</w:t>
            </w:r>
            <w:r>
              <w:rPr>
                <w:rFonts w:hint="default" w:ascii="Garamond" w:hAnsi="Garamond" w:eastAsia="宋体"/>
                <w:lang w:eastAsia="zh-Hans"/>
              </w:rPr>
              <w:t>，</w:t>
            </w:r>
            <w:r>
              <w:rPr>
                <w:rFonts w:hint="eastAsia" w:ascii="Garamond" w:hAnsi="Garamond" w:eastAsia="宋体"/>
                <w:lang w:val="en-US" w:eastAsia="zh-Hans"/>
              </w:rPr>
              <w:t>或对此领域有较强兴趣</w:t>
            </w:r>
          </w:p>
        </w:tc>
      </w:tr>
      <w:tr>
        <w:tc>
          <w:tcPr>
            <w:tcW w:w="8290" w:type="dxa"/>
            <w:gridSpan w:val="5"/>
            <w:tcBorders>
              <w:top w:val="single" w:color="1F3864" w:themeColor="accent1" w:themeShade="80" w:sz="8" w:space="0"/>
              <w:left w:val="nil"/>
              <w:bottom w:val="nil"/>
              <w:right w:val="nil"/>
            </w:tcBorders>
          </w:tcPr>
          <w:p>
            <w:pPr>
              <w:ind w:firstLine="400" w:firstLineChars="200"/>
              <w:rPr>
                <w:rFonts w:ascii="Garamond" w:hAnsi="Garamond" w:eastAsia="宋体"/>
                <w:sz w:val="20"/>
                <w:szCs w:val="22"/>
              </w:rPr>
            </w:pPr>
          </w:p>
          <w:p>
            <w:pPr>
              <w:ind w:firstLine="400" w:firstLineChars="200"/>
              <w:rPr>
                <w:rFonts w:ascii="Garamond" w:hAnsi="Garamond" w:eastAsia="宋体"/>
                <w:sz w:val="20"/>
                <w:szCs w:val="22"/>
              </w:rPr>
            </w:pPr>
            <w:r>
              <w:rPr>
                <w:rFonts w:hint="eastAsia" w:ascii="Garamond" w:hAnsi="Garamond" w:eastAsia="宋体"/>
                <w:sz w:val="20"/>
                <w:szCs w:val="22"/>
              </w:rPr>
              <w:t>本表更新时间：2</w:t>
            </w:r>
            <w:r>
              <w:rPr>
                <w:rFonts w:ascii="Garamond" w:hAnsi="Garamond" w:eastAsia="宋体"/>
                <w:sz w:val="20"/>
                <w:szCs w:val="22"/>
              </w:rPr>
              <w:t>023</w:t>
            </w:r>
            <w:r>
              <w:rPr>
                <w:rFonts w:hint="eastAsia" w:ascii="Garamond" w:hAnsi="Garamond" w:eastAsia="宋体"/>
                <w:sz w:val="20"/>
                <w:szCs w:val="22"/>
              </w:rPr>
              <w:t>年</w:t>
            </w:r>
            <w:r>
              <w:rPr>
                <w:rFonts w:ascii="Garamond" w:hAnsi="Garamond" w:eastAsia="宋体"/>
                <w:sz w:val="20"/>
                <w:szCs w:val="22"/>
              </w:rPr>
              <w:t>7</w:t>
            </w:r>
            <w:r>
              <w:rPr>
                <w:rFonts w:hint="eastAsia" w:ascii="Garamond" w:hAnsi="Garamond" w:eastAsia="宋体"/>
                <w:sz w:val="20"/>
                <w:szCs w:val="22"/>
              </w:rPr>
              <w:t>月</w:t>
            </w:r>
          </w:p>
          <w:p>
            <w:pPr>
              <w:ind w:firstLine="400" w:firstLineChars="200"/>
              <w:rPr>
                <w:rFonts w:ascii="Garamond" w:hAnsi="Garamond" w:eastAsia="宋体"/>
                <w:sz w:val="20"/>
                <w:szCs w:val="22"/>
              </w:rPr>
            </w:pPr>
            <w:r>
              <w:rPr>
                <w:rFonts w:hint="eastAsia" w:ascii="Garamond" w:hAnsi="Garamond" w:eastAsia="宋体"/>
                <w:sz w:val="20"/>
                <w:szCs w:val="22"/>
              </w:rPr>
              <w:t>本表用于MPA项目师生双向选择。有关导师的详细信息请点击浙江大学教师个人主页获取。</w:t>
            </w:r>
          </w:p>
        </w:tc>
      </w:tr>
    </w:tbl>
    <w:p>
      <w:pPr>
        <w:rPr>
          <w:rFonts w:ascii="Garamond" w:hAnsi="Garamond" w:eastAsia="宋体"/>
        </w:rPr>
      </w:pP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Garamond">
    <w:altName w:val="苹方-简"/>
    <w:panose1 w:val="02020404030301010803"/>
    <w:charset w:val="00"/>
    <w:family w:val="roman"/>
    <w:pitch w:val="default"/>
    <w:sig w:usb0="00000000" w:usb1="00000000" w:usb2="00000000" w:usb3="00000000" w:csb0="0000009F" w:csb1="00000000"/>
  </w:font>
  <w:font w:name="苹方-简">
    <w:panose1 w:val="020B0400000000000000"/>
    <w:charset w:val="86"/>
    <w:family w:val="auto"/>
    <w:pitch w:val="default"/>
    <w:sig w:usb0="00000000" w:usb1="00000000" w:usb2="00000000" w:usb3="00000000" w:csb0="0016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EF6FBD"/>
    <w:rsid w:val="577E352C"/>
    <w:rsid w:val="78F6BB15"/>
    <w:rsid w:val="7FFF6805"/>
    <w:rsid w:val="FEFF05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页眉 字符"/>
    <w:basedOn w:val="6"/>
    <w:link w:val="3"/>
    <w:uiPriority w:val="99"/>
    <w:rPr>
      <w:sz w:val="18"/>
      <w:szCs w:val="18"/>
    </w:rPr>
  </w:style>
  <w:style w:type="character" w:customStyle="1" w:styleId="9">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ZJU</Company>
  <Pages>1</Pages>
  <Words>28</Words>
  <Characters>162</Characters>
  <Lines>1</Lines>
  <Paragraphs>1</Paragraphs>
  <TotalTime>77</TotalTime>
  <ScaleCrop>false</ScaleCrop>
  <LinksUpToDate>false</LinksUpToDate>
  <CharactersWithSpaces>189</CharactersWithSpaces>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2019-10-12T09:50:00Z</dcterms:created>
  <dc:creator>Xiang Gao</dc:creator>
  <cp:lastModifiedBy>cw</cp:lastModifiedBy>
  <dcterms:modified xsi:type="dcterms:W3CDTF">2023-07-07T11:29:59Z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ICV">
    <vt:lpwstr>79C21A5555461F68B786A764027651B4_43</vt:lpwstr>
  </property>
</Properties>
</file>