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276"/>
        <w:gridCol w:w="992"/>
        <w:gridCol w:w="2820"/>
        <w:gridCol w:w="2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0" w:type="dxa"/>
            <w:gridSpan w:val="5"/>
            <w:tcBorders>
              <w:top w:val="nil"/>
              <w:left w:val="nil"/>
              <w:bottom w:val="single" w:color="1F3864" w:themeColor="accent1" w:themeShade="80" w:sz="8" w:space="0"/>
              <w:right w:val="nil"/>
            </w:tcBorders>
          </w:tcPr>
          <w:p>
            <w:pPr>
              <w:spacing w:line="480" w:lineRule="auto"/>
              <w:jc w:val="center"/>
              <w:rPr>
                <w:rFonts w:ascii="Garamond" w:hAnsi="Garamond" w:eastAsia="宋体"/>
                <w:b/>
                <w:bCs/>
                <w:sz w:val="24"/>
                <w:szCs w:val="32"/>
              </w:rPr>
            </w:pPr>
            <w:r>
              <w:rPr>
                <w:rFonts w:ascii="Garamond" w:hAnsi="Garamond" w:eastAsia="宋体"/>
                <w:b/>
                <w:bCs/>
                <w:sz w:val="24"/>
                <w:szCs w:val="32"/>
              </w:rPr>
              <w:t>浙江大学MPA专业导师信息表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top w:val="single" w:color="1F3864" w:themeColor="accent1" w:themeShade="80" w:sz="8" w:space="0"/>
            </w:tcBorders>
          </w:tcPr>
          <w:p>
            <w:pPr>
              <w:spacing w:line="276" w:lineRule="auto"/>
              <w:jc w:val="distribute"/>
              <w:rPr>
                <w:rFonts w:ascii="Garamond" w:hAnsi="Garamond" w:eastAsia="宋体"/>
              </w:rPr>
            </w:pPr>
            <w:r>
              <w:rPr>
                <w:rFonts w:ascii="Garamond" w:hAnsi="Garamond" w:eastAsia="宋体"/>
              </w:rPr>
              <w:t>姓名</w:t>
            </w:r>
          </w:p>
        </w:tc>
        <w:tc>
          <w:tcPr>
            <w:tcW w:w="1276" w:type="dxa"/>
            <w:tcBorders>
              <w:top w:val="single" w:color="1F3864" w:themeColor="accent1" w:themeShade="80" w:sz="8" w:space="0"/>
            </w:tcBorders>
          </w:tcPr>
          <w:p>
            <w:pPr>
              <w:spacing w:line="276" w:lineRule="auto"/>
              <w:rPr>
                <w:rFonts w:hint="eastAsia" w:ascii="Garamond" w:hAnsi="Garamond" w:eastAsia="宋体"/>
                <w:lang w:val="en-US" w:eastAsia="zh-CN"/>
              </w:rPr>
            </w:pPr>
            <w:r>
              <w:rPr>
                <w:rFonts w:hint="eastAsia" w:ascii="Garamond" w:hAnsi="Garamond" w:eastAsia="宋体"/>
                <w:lang w:val="en-US" w:eastAsia="zh-CN"/>
              </w:rPr>
              <w:t>董照樱子</w:t>
            </w:r>
          </w:p>
        </w:tc>
        <w:tc>
          <w:tcPr>
            <w:tcW w:w="992" w:type="dxa"/>
            <w:tcBorders>
              <w:top w:val="single" w:color="1F3864" w:themeColor="accent1" w:themeShade="80" w:sz="8" w:space="0"/>
            </w:tcBorders>
          </w:tcPr>
          <w:p>
            <w:pPr>
              <w:spacing w:line="276" w:lineRule="auto"/>
              <w:rPr>
                <w:rFonts w:ascii="Garamond" w:hAnsi="Garamond" w:eastAsia="宋体"/>
              </w:rPr>
            </w:pPr>
            <w:r>
              <w:rPr>
                <w:rFonts w:ascii="Garamond" w:hAnsi="Garamond" w:eastAsia="宋体"/>
              </w:rPr>
              <w:t>职称</w:t>
            </w:r>
          </w:p>
        </w:tc>
        <w:tc>
          <w:tcPr>
            <w:tcW w:w="2820" w:type="dxa"/>
            <w:tcBorders>
              <w:top w:val="single" w:color="1F3864" w:themeColor="accent1" w:themeShade="80" w:sz="8" w:space="0"/>
            </w:tcBorders>
          </w:tcPr>
          <w:p>
            <w:pPr>
              <w:spacing w:line="276" w:lineRule="auto"/>
              <w:rPr>
                <w:rFonts w:hint="default" w:ascii="Garamond" w:hAnsi="Garamond" w:eastAsia="宋体"/>
                <w:lang w:val="en-US" w:eastAsia="zh-CN"/>
              </w:rPr>
            </w:pPr>
            <w:r>
              <w:rPr>
                <w:rFonts w:hint="eastAsia" w:ascii="Garamond" w:hAnsi="Garamond" w:eastAsia="宋体"/>
                <w:lang w:val="en-US" w:eastAsia="zh-CN"/>
              </w:rPr>
              <w:t>百人计划研究员</w:t>
            </w:r>
            <w:bookmarkStart w:id="0" w:name="_GoBack"/>
            <w:bookmarkEnd w:id="0"/>
          </w:p>
        </w:tc>
        <w:tc>
          <w:tcPr>
            <w:tcW w:w="2073" w:type="dxa"/>
            <w:vMerge w:val="restart"/>
            <w:tcBorders>
              <w:top w:val="single" w:color="1F3864" w:themeColor="accent1" w:themeShade="80" w:sz="8" w:space="0"/>
            </w:tcBorders>
          </w:tcPr>
          <w:p>
            <w:pPr>
              <w:spacing w:line="276" w:lineRule="auto"/>
              <w:rPr>
                <w:rFonts w:ascii="Garamond" w:hAnsi="Garamond" w:eastAsia="宋体"/>
              </w:rPr>
            </w:pPr>
          </w:p>
          <w:p>
            <w:pPr>
              <w:spacing w:line="276" w:lineRule="auto"/>
              <w:ind w:firstLine="210" w:firstLineChars="100"/>
              <w:rPr>
                <w:rFonts w:hint="eastAsia" w:ascii="Garamond" w:hAnsi="Garamond" w:eastAsia="宋体"/>
                <w:lang w:eastAsia="zh-CN"/>
              </w:rPr>
            </w:pPr>
            <w:r>
              <w:rPr>
                <w:rFonts w:hint="eastAsia" w:ascii="Garamond" w:hAnsi="Garamond" w:eastAsia="宋体"/>
                <w:lang w:eastAsia="zh-CN"/>
              </w:rPr>
              <w:drawing>
                <wp:inline distT="0" distB="0" distL="114300" distR="114300">
                  <wp:extent cx="1174750" cy="1447800"/>
                  <wp:effectExtent l="0" t="0" r="0" b="0"/>
                  <wp:docPr id="1" name="图片 1" descr="董照樱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董照樱子"/>
                          <pic:cNvPicPr>
                            <a:picLocks noChangeAspect="1"/>
                          </pic:cNvPicPr>
                        </pic:nvPicPr>
                        <pic:blipFill>
                          <a:blip r:embed="rId4"/>
                          <a:stretch>
                            <a:fillRect/>
                          </a:stretch>
                        </pic:blipFill>
                        <pic:spPr>
                          <a:xfrm>
                            <a:off x="0" y="0"/>
                            <a:ext cx="1174750" cy="14478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276" w:lineRule="auto"/>
              <w:jc w:val="distribute"/>
              <w:rPr>
                <w:rFonts w:ascii="Garamond" w:hAnsi="Garamond" w:eastAsia="宋体"/>
              </w:rPr>
            </w:pPr>
            <w:r>
              <w:rPr>
                <w:rFonts w:ascii="Garamond" w:hAnsi="Garamond" w:eastAsia="宋体"/>
              </w:rPr>
              <w:t>性别</w:t>
            </w:r>
          </w:p>
        </w:tc>
        <w:tc>
          <w:tcPr>
            <w:tcW w:w="1276" w:type="dxa"/>
          </w:tcPr>
          <w:p>
            <w:pPr>
              <w:spacing w:line="276" w:lineRule="auto"/>
              <w:rPr>
                <w:rFonts w:hint="eastAsia" w:ascii="Garamond" w:hAnsi="Garamond" w:eastAsia="宋体"/>
                <w:lang w:val="en-US" w:eastAsia="zh-CN"/>
              </w:rPr>
            </w:pPr>
            <w:r>
              <w:rPr>
                <w:rFonts w:hint="eastAsia" w:ascii="Garamond" w:hAnsi="Garamond" w:eastAsia="宋体"/>
                <w:lang w:val="en-US" w:eastAsia="zh-CN"/>
              </w:rPr>
              <w:t>女</w:t>
            </w:r>
          </w:p>
        </w:tc>
        <w:tc>
          <w:tcPr>
            <w:tcW w:w="992" w:type="dxa"/>
          </w:tcPr>
          <w:p>
            <w:pPr>
              <w:spacing w:line="276" w:lineRule="auto"/>
              <w:rPr>
                <w:rFonts w:ascii="Garamond" w:hAnsi="Garamond" w:eastAsia="宋体"/>
              </w:rPr>
            </w:pPr>
            <w:r>
              <w:rPr>
                <w:rFonts w:ascii="Garamond" w:hAnsi="Garamond" w:eastAsia="宋体"/>
              </w:rPr>
              <w:t>研究所</w:t>
            </w:r>
          </w:p>
        </w:tc>
        <w:tc>
          <w:tcPr>
            <w:tcW w:w="2820" w:type="dxa"/>
          </w:tcPr>
          <w:p>
            <w:pPr>
              <w:spacing w:line="276" w:lineRule="auto"/>
              <w:rPr>
                <w:rFonts w:ascii="Garamond" w:hAnsi="Garamond" w:eastAsia="宋体"/>
              </w:rPr>
            </w:pPr>
            <w:r>
              <w:rPr>
                <w:rFonts w:hint="eastAsia" w:ascii="Garamond" w:hAnsi="Garamond" w:eastAsia="宋体"/>
                <w:lang w:val="en-US" w:eastAsia="zh-CN"/>
              </w:rPr>
              <w:t>城市治理研究所</w:t>
            </w:r>
          </w:p>
        </w:tc>
        <w:tc>
          <w:tcPr>
            <w:tcW w:w="2073" w:type="dxa"/>
            <w:vMerge w:val="continue"/>
          </w:tcPr>
          <w:p>
            <w:pPr>
              <w:spacing w:line="276" w:lineRule="auto"/>
              <w:rPr>
                <w:rFonts w:ascii="Garamond" w:hAnsi="Garamond"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276" w:lineRule="auto"/>
              <w:jc w:val="distribute"/>
              <w:rPr>
                <w:rFonts w:ascii="Garamond" w:hAnsi="Garamond" w:eastAsia="宋体"/>
              </w:rPr>
            </w:pPr>
            <w:r>
              <w:rPr>
                <w:rFonts w:ascii="Garamond" w:hAnsi="Garamond" w:eastAsia="宋体"/>
              </w:rPr>
              <w:t>电子邮箱</w:t>
            </w:r>
          </w:p>
        </w:tc>
        <w:tc>
          <w:tcPr>
            <w:tcW w:w="5088" w:type="dxa"/>
            <w:gridSpan w:val="3"/>
          </w:tcPr>
          <w:p>
            <w:pPr>
              <w:spacing w:line="276" w:lineRule="auto"/>
              <w:rPr>
                <w:rFonts w:hint="default" w:ascii="Garamond" w:hAnsi="Garamond" w:eastAsia="宋体"/>
                <w:lang w:val="en-US" w:eastAsia="zh-CN"/>
              </w:rPr>
            </w:pPr>
            <w:r>
              <w:rPr>
                <w:rFonts w:hint="eastAsia" w:ascii="Garamond" w:hAnsi="Garamond" w:eastAsia="宋体"/>
                <w:lang w:val="en-US" w:eastAsia="zh-CN"/>
              </w:rPr>
              <w:t>dongzhaoyingzi@zju.edu.cn</w:t>
            </w:r>
          </w:p>
        </w:tc>
        <w:tc>
          <w:tcPr>
            <w:tcW w:w="2073" w:type="dxa"/>
            <w:vMerge w:val="continue"/>
          </w:tcPr>
          <w:p>
            <w:pPr>
              <w:spacing w:line="276" w:lineRule="auto"/>
              <w:rPr>
                <w:rFonts w:ascii="Garamond" w:hAnsi="Garamond"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17" w:type="dxa"/>
            <w:gridSpan w:val="4"/>
          </w:tcPr>
          <w:p>
            <w:pPr>
              <w:spacing w:line="276" w:lineRule="auto"/>
              <w:rPr>
                <w:rFonts w:ascii="Garamond" w:hAnsi="Garamond" w:eastAsia="宋体"/>
                <w:b/>
              </w:rPr>
            </w:pPr>
            <w:r>
              <w:rPr>
                <w:rFonts w:ascii="Garamond" w:hAnsi="Garamond" w:eastAsia="宋体"/>
                <w:b/>
              </w:rPr>
              <w:t xml:space="preserve">个人主页： </w:t>
            </w:r>
          </w:p>
        </w:tc>
        <w:tc>
          <w:tcPr>
            <w:tcW w:w="2073" w:type="dxa"/>
            <w:vMerge w:val="continue"/>
          </w:tcPr>
          <w:p>
            <w:pPr>
              <w:spacing w:line="276" w:lineRule="auto"/>
              <w:rPr>
                <w:rFonts w:ascii="Garamond" w:hAnsi="Garamond"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0" w:type="dxa"/>
            <w:gridSpan w:val="5"/>
          </w:tcPr>
          <w:p>
            <w:pPr>
              <w:spacing w:line="360" w:lineRule="auto"/>
              <w:jc w:val="center"/>
              <w:rPr>
                <w:rFonts w:ascii="Garamond" w:hAnsi="Garamond" w:eastAsia="宋体"/>
                <w:b/>
                <w:bCs/>
              </w:rPr>
            </w:pPr>
            <w:r>
              <w:rPr>
                <w:rFonts w:ascii="Garamond" w:hAnsi="Garamond" w:eastAsia="宋体"/>
                <w:b/>
                <w:bCs/>
              </w:rPr>
              <w:t>拟带MPA学生的论文选题方向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8290" w:type="dxa"/>
            <w:gridSpan w:val="5"/>
            <w:shd w:val="clear" w:color="auto" w:fill="D0CECE" w:themeFill="background2" w:themeFillShade="E6"/>
          </w:tcPr>
          <w:p>
            <w:pPr>
              <w:spacing w:line="276" w:lineRule="auto"/>
              <w:rPr>
                <w:rFonts w:hint="default" w:ascii="Garamond" w:hAnsi="Garamond" w:eastAsia="宋体"/>
                <w:b/>
                <w:bCs/>
                <w:lang w:val="en-US" w:eastAsia="zh-CN"/>
              </w:rPr>
            </w:pPr>
            <w:r>
              <w:rPr>
                <w:rFonts w:ascii="Garamond" w:hAnsi="Garamond" w:eastAsia="宋体"/>
                <w:b/>
                <w:bCs/>
              </w:rPr>
              <w:t xml:space="preserve">选题1： </w:t>
            </w:r>
            <w:r>
              <w:rPr>
                <w:rFonts w:hint="eastAsia" w:ascii="Garamond" w:hAnsi="Garamond" w:eastAsia="宋体"/>
                <w:b/>
                <w:bCs/>
                <w:lang w:val="en-US" w:eastAsia="zh-CN"/>
              </w:rPr>
              <w:t>城市环境研究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8290" w:type="dxa"/>
            <w:gridSpan w:val="5"/>
          </w:tcPr>
          <w:p>
            <w:pPr>
              <w:rPr>
                <w:rFonts w:ascii="Garamond" w:hAnsi="Garamond" w:eastAsia="宋体"/>
              </w:rPr>
            </w:pPr>
            <w:r>
              <w:rPr>
                <w:rFonts w:ascii="Garamond" w:hAnsi="Garamond" w:eastAsia="宋体"/>
              </w:rPr>
              <w:t>简介</w:t>
            </w:r>
            <w:r>
              <w:rPr>
                <w:rFonts w:hint="eastAsia" w:ascii="Garamond" w:hAnsi="Garamond" w:eastAsia="宋体"/>
              </w:rPr>
              <w:t>：</w:t>
            </w:r>
            <w:r>
              <w:rPr>
                <w:rFonts w:ascii="Garamond" w:hAnsi="Garamond" w:eastAsia="宋体"/>
              </w:rPr>
              <w:t xml:space="preserve"> </w:t>
            </w:r>
            <w:r>
              <w:rPr>
                <w:rFonts w:hint="eastAsia" w:ascii="Garamond" w:hAnsi="Garamond" w:eastAsia="宋体"/>
              </w:rPr>
              <w:t>聚焦于</w:t>
            </w:r>
            <w:r>
              <w:rPr>
                <w:rFonts w:hint="eastAsia" w:ascii="Garamond" w:hAnsi="Garamond" w:eastAsia="宋体"/>
                <w:lang w:val="en-US" w:eastAsia="zh-CN"/>
              </w:rPr>
              <w:t>城市</w:t>
            </w:r>
            <w:r>
              <w:rPr>
                <w:rFonts w:hint="eastAsia" w:ascii="Garamond" w:hAnsi="Garamond" w:eastAsia="宋体"/>
              </w:rPr>
              <w:t>环境政策</w:t>
            </w:r>
            <w:r>
              <w:rPr>
                <w:rFonts w:hint="eastAsia" w:ascii="Garamond" w:hAnsi="Garamond" w:eastAsia="宋体"/>
                <w:lang w:val="en-US" w:eastAsia="zh-CN"/>
              </w:rPr>
              <w:t>对城市可持续发展与城市公平的影响，以期为如何通过环境政策实现兼顾效率和公平的城市发展提供决策参考。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290" w:type="dxa"/>
            <w:gridSpan w:val="5"/>
            <w:shd w:val="clear" w:color="auto" w:fill="D0CECE" w:themeFill="background2" w:themeFillShade="E6"/>
          </w:tcPr>
          <w:p>
            <w:pPr>
              <w:spacing w:line="276" w:lineRule="auto"/>
              <w:rPr>
                <w:rFonts w:hint="default" w:ascii="Garamond" w:hAnsi="Garamond" w:eastAsia="宋体"/>
                <w:b/>
                <w:bCs/>
                <w:lang w:val="en-US"/>
              </w:rPr>
            </w:pPr>
            <w:r>
              <w:rPr>
                <w:rFonts w:ascii="Garamond" w:hAnsi="Garamond" w:eastAsia="宋体"/>
                <w:b/>
                <w:bCs/>
              </w:rPr>
              <w:t xml:space="preserve">选题2： </w:t>
            </w:r>
            <w:r>
              <w:rPr>
                <w:rFonts w:hint="eastAsia" w:ascii="Garamond" w:hAnsi="Garamond" w:eastAsia="宋体"/>
                <w:b/>
                <w:bCs/>
                <w:lang w:val="en-US" w:eastAsia="zh-CN"/>
              </w:rPr>
              <w:t>城市住房研究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290" w:type="dxa"/>
            <w:gridSpan w:val="5"/>
          </w:tcPr>
          <w:p>
            <w:pPr>
              <w:rPr>
                <w:rFonts w:hint="default" w:ascii="Garamond" w:hAnsi="Garamond" w:eastAsia="宋体"/>
                <w:lang w:val="en-US" w:eastAsia="zh-CN"/>
              </w:rPr>
            </w:pPr>
            <w:r>
              <w:rPr>
                <w:rFonts w:ascii="Garamond" w:hAnsi="Garamond" w:eastAsia="宋体"/>
              </w:rPr>
              <w:t>简介</w:t>
            </w:r>
            <w:r>
              <w:rPr>
                <w:rFonts w:hint="eastAsia" w:ascii="Garamond" w:hAnsi="Garamond" w:eastAsia="宋体"/>
              </w:rPr>
              <w:t>：</w:t>
            </w:r>
            <w:r>
              <w:rPr>
                <w:rFonts w:hint="eastAsia" w:ascii="Garamond" w:hAnsi="Garamond" w:eastAsia="宋体"/>
                <w:lang w:val="en-US" w:eastAsia="zh-CN"/>
              </w:rPr>
              <w:t>主要包括住房政策效应评估与住房财富效应两个方向，</w:t>
            </w:r>
            <w:r>
              <w:rPr>
                <w:rFonts w:hint="eastAsia" w:ascii="Garamond" w:hAnsi="Garamond" w:eastAsia="宋体"/>
              </w:rPr>
              <w:t>探析住房</w:t>
            </w:r>
            <w:r>
              <w:rPr>
                <w:rFonts w:hint="eastAsia" w:ascii="Garamond" w:hAnsi="Garamond" w:eastAsia="宋体"/>
                <w:lang w:val="en-US" w:eastAsia="zh-CN"/>
              </w:rPr>
              <w:t>价格与住房政策</w:t>
            </w:r>
            <w:r>
              <w:rPr>
                <w:rFonts w:hint="eastAsia" w:ascii="Garamond" w:hAnsi="Garamond" w:eastAsia="宋体"/>
              </w:rPr>
              <w:t>如何影响</w:t>
            </w:r>
            <w:r>
              <w:rPr>
                <w:rFonts w:hint="eastAsia" w:ascii="Garamond" w:hAnsi="Garamond" w:eastAsia="宋体"/>
                <w:lang w:val="en-US" w:eastAsia="zh-CN"/>
              </w:rPr>
              <w:t>居民消费与投资行为</w:t>
            </w:r>
            <w:r>
              <w:rPr>
                <w:rFonts w:hint="eastAsia" w:ascii="Garamond" w:hAnsi="Garamond" w:eastAsia="宋体"/>
              </w:rPr>
              <w:t>，</w:t>
            </w:r>
            <w:r>
              <w:rPr>
                <w:rFonts w:hint="eastAsia" w:ascii="Garamond" w:hAnsi="Garamond" w:eastAsia="宋体"/>
                <w:lang w:val="en-US" w:eastAsia="zh-CN"/>
              </w:rPr>
              <w:t>并</w:t>
            </w:r>
            <w:r>
              <w:rPr>
                <w:rFonts w:hint="eastAsia" w:ascii="Garamond" w:hAnsi="Garamond" w:eastAsia="宋体"/>
              </w:rPr>
              <w:t>探讨住房政策的协同机制和实现住房公平的可能途径。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trPr>
        <w:tc>
          <w:tcPr>
            <w:tcW w:w="8290" w:type="dxa"/>
            <w:gridSpan w:val="5"/>
            <w:shd w:val="clear" w:color="auto" w:fill="D0CECE" w:themeFill="background2" w:themeFillShade="E6"/>
          </w:tcPr>
          <w:p>
            <w:pPr>
              <w:spacing w:line="276" w:lineRule="auto"/>
              <w:rPr>
                <w:rFonts w:hint="default" w:ascii="Garamond" w:hAnsi="Garamond" w:eastAsia="宋体"/>
                <w:b/>
                <w:bCs/>
                <w:lang w:val="en-US" w:eastAsia="zh-CN"/>
              </w:rPr>
            </w:pPr>
            <w:r>
              <w:rPr>
                <w:rFonts w:ascii="Garamond" w:hAnsi="Garamond" w:eastAsia="宋体"/>
                <w:b/>
                <w:bCs/>
              </w:rPr>
              <w:t xml:space="preserve">选题3： </w:t>
            </w:r>
            <w:r>
              <w:rPr>
                <w:rFonts w:hint="eastAsia" w:ascii="Garamond" w:hAnsi="Garamond" w:eastAsia="宋体"/>
                <w:b/>
                <w:bCs/>
                <w:lang w:val="en-US" w:eastAsia="zh-CN"/>
              </w:rPr>
              <w:t>城市创新研究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0" w:type="dxa"/>
            <w:gridSpan w:val="5"/>
          </w:tcPr>
          <w:p>
            <w:pPr>
              <w:rPr>
                <w:rFonts w:hint="default" w:ascii="Garamond" w:hAnsi="Garamond" w:eastAsia="宋体"/>
                <w:lang w:val="en-US" w:eastAsia="zh-CN"/>
              </w:rPr>
            </w:pPr>
            <w:r>
              <w:rPr>
                <w:rFonts w:ascii="Garamond" w:hAnsi="Garamond" w:eastAsia="宋体"/>
              </w:rPr>
              <w:t>简介</w:t>
            </w:r>
            <w:r>
              <w:rPr>
                <w:rFonts w:hint="eastAsia" w:ascii="Garamond" w:hAnsi="Garamond" w:eastAsia="宋体"/>
              </w:rPr>
              <w:t>：</w:t>
            </w:r>
            <w:r>
              <w:rPr>
                <w:rFonts w:hint="eastAsia" w:ascii="Garamond" w:hAnsi="Garamond" w:eastAsia="宋体"/>
                <w:lang w:val="en-US" w:eastAsia="zh-CN"/>
              </w:rPr>
              <w:t>分析城市内和城市间的技术创新演化路径，以及如何帮助城市实现技术创新的路径突破。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8290" w:type="dxa"/>
            <w:gridSpan w:val="5"/>
          </w:tcPr>
          <w:p>
            <w:pPr>
              <w:spacing w:line="360" w:lineRule="auto"/>
              <w:jc w:val="center"/>
              <w:rPr>
                <w:rFonts w:ascii="Garamond" w:hAnsi="Garamond" w:eastAsia="宋体"/>
                <w:b/>
                <w:bCs/>
              </w:rPr>
            </w:pPr>
            <w:r>
              <w:rPr>
                <w:rFonts w:hint="eastAsia" w:ascii="Garamond" w:hAnsi="Garamond" w:eastAsia="宋体"/>
                <w:b/>
                <w:bCs/>
              </w:rPr>
              <w:t>对MPA学生的要求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trPr>
        <w:tc>
          <w:tcPr>
            <w:tcW w:w="8290" w:type="dxa"/>
            <w:gridSpan w:val="5"/>
            <w:tcBorders>
              <w:bottom w:val="single" w:color="1F3864" w:themeColor="accent1" w:themeShade="80" w:sz="8" w:space="0"/>
            </w:tcBorders>
          </w:tcPr>
          <w:p>
            <w:pPr>
              <w:rPr>
                <w:rFonts w:hint="default" w:ascii="Garamond" w:hAnsi="Garamond" w:eastAsia="宋体"/>
                <w:lang w:val="en-US" w:eastAsia="zh-CN"/>
              </w:rPr>
            </w:pPr>
            <w:r>
              <w:rPr>
                <w:rFonts w:hint="eastAsia" w:ascii="Garamond" w:hAnsi="Garamond" w:eastAsia="宋体"/>
                <w:lang w:val="en-US" w:eastAsia="zh-CN"/>
              </w:rPr>
              <w:t>有一定定量分析基础。</w:t>
            </w:r>
          </w:p>
          <w:p>
            <w:pPr>
              <w:rPr>
                <w:rFonts w:ascii="Garamond" w:hAnsi="Garamond"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0" w:type="dxa"/>
            <w:gridSpan w:val="5"/>
            <w:tcBorders>
              <w:top w:val="single" w:color="1F3864" w:themeColor="accent1" w:themeShade="80" w:sz="8" w:space="0"/>
              <w:left w:val="nil"/>
              <w:bottom w:val="nil"/>
              <w:right w:val="nil"/>
            </w:tcBorders>
          </w:tcPr>
          <w:p>
            <w:pPr>
              <w:ind w:firstLine="400" w:firstLineChars="200"/>
              <w:rPr>
                <w:rFonts w:ascii="Garamond" w:hAnsi="Garamond" w:eastAsia="宋体"/>
                <w:sz w:val="20"/>
                <w:szCs w:val="22"/>
              </w:rPr>
            </w:pPr>
          </w:p>
          <w:p>
            <w:pPr>
              <w:ind w:firstLine="400" w:firstLineChars="200"/>
              <w:rPr>
                <w:rFonts w:ascii="Garamond" w:hAnsi="Garamond" w:eastAsia="宋体"/>
                <w:sz w:val="20"/>
                <w:szCs w:val="22"/>
              </w:rPr>
            </w:pPr>
            <w:r>
              <w:rPr>
                <w:rFonts w:hint="eastAsia" w:ascii="Garamond" w:hAnsi="Garamond" w:eastAsia="宋体"/>
                <w:sz w:val="20"/>
                <w:szCs w:val="22"/>
              </w:rPr>
              <w:t>本表更新时间：2</w:t>
            </w:r>
            <w:r>
              <w:rPr>
                <w:rFonts w:ascii="Garamond" w:hAnsi="Garamond" w:eastAsia="宋体"/>
                <w:sz w:val="20"/>
                <w:szCs w:val="22"/>
              </w:rPr>
              <w:t>023</w:t>
            </w:r>
            <w:r>
              <w:rPr>
                <w:rFonts w:hint="eastAsia" w:ascii="Garamond" w:hAnsi="Garamond" w:eastAsia="宋体"/>
                <w:sz w:val="20"/>
                <w:szCs w:val="22"/>
              </w:rPr>
              <w:t>年</w:t>
            </w:r>
            <w:r>
              <w:rPr>
                <w:rFonts w:ascii="Garamond" w:hAnsi="Garamond" w:eastAsia="宋体"/>
                <w:sz w:val="20"/>
                <w:szCs w:val="22"/>
              </w:rPr>
              <w:t>6</w:t>
            </w:r>
            <w:r>
              <w:rPr>
                <w:rFonts w:hint="eastAsia" w:ascii="Garamond" w:hAnsi="Garamond" w:eastAsia="宋体"/>
                <w:sz w:val="20"/>
                <w:szCs w:val="22"/>
              </w:rPr>
              <w:t>月</w:t>
            </w:r>
          </w:p>
          <w:p>
            <w:pPr>
              <w:ind w:firstLine="400" w:firstLineChars="200"/>
              <w:rPr>
                <w:rFonts w:ascii="Garamond" w:hAnsi="Garamond" w:eastAsia="宋体"/>
                <w:sz w:val="20"/>
                <w:szCs w:val="22"/>
              </w:rPr>
            </w:pPr>
            <w:r>
              <w:rPr>
                <w:rFonts w:hint="eastAsia" w:ascii="Garamond" w:hAnsi="Garamond" w:eastAsia="宋体"/>
                <w:sz w:val="20"/>
                <w:szCs w:val="22"/>
              </w:rPr>
              <w:t>本表用于MPA项目师生双向选择。有关导师的详细信息请点击浙江大学教师个人主页获取。</w:t>
            </w:r>
          </w:p>
        </w:tc>
      </w:tr>
    </w:tbl>
    <w:p>
      <w:pPr>
        <w:rPr>
          <w:rFonts w:ascii="Garamond" w:hAnsi="Garamond" w:eastAsia="宋体"/>
        </w:rPr>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Garamond">
    <w:panose1 w:val="02020404030301010803"/>
    <w:charset w:val="00"/>
    <w:family w:val="roman"/>
    <w:pitch w:val="default"/>
    <w:sig w:usb0="00000287" w:usb1="00000000" w:usb2="00000000" w:usb3="00000000" w:csb0="0000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mYzY2N2I4YWFjZDhiZGI2ZTg5ZGY3ZTY3MTNhZTYifQ=="/>
  </w:docVars>
  <w:rsids>
    <w:rsidRoot w:val="00000000"/>
    <w:rsid w:val="0D611904"/>
    <w:rsid w:val="1F2246DD"/>
    <w:rsid w:val="43762FDE"/>
    <w:rsid w:val="49773A63"/>
    <w:rsid w:val="51EF712F"/>
    <w:rsid w:val="5C7F74C7"/>
    <w:rsid w:val="5CBA3AE4"/>
    <w:rsid w:val="60206C8E"/>
    <w:rsid w:val="62E713AB"/>
    <w:rsid w:val="7D206073"/>
    <w:rsid w:val="7F9F587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ZJU</Company>
  <Pages>1</Pages>
  <Words>345</Words>
  <Characters>380</Characters>
  <Lines>1</Lines>
  <Paragraphs>1</Paragraphs>
  <TotalTime>7</TotalTime>
  <ScaleCrop>false</ScaleCrop>
  <LinksUpToDate>false</LinksUpToDate>
  <CharactersWithSpaces>385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2019-10-12T01:50:00Z</dcterms:created>
  <dc:creator>Xiang Gao</dc:creator>
  <cp:lastModifiedBy>董照樱子 Yingzi</cp:lastModifiedBy>
  <dcterms:modified xsi:type="dcterms:W3CDTF">2023-07-03T03:40:22Z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55D8A6DFC65147C7A7B47E0542DBF9AF_13</vt:lpwstr>
  </property>
</Properties>
</file>